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781F4054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9954F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25D1AE7A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62A680D5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1F3D7B1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740A4321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28A95BE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04383FD5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7CF592B6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48BE424C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46023A72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5E890346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494F88CB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0B3FB0F6" w14:textId="77777777" w:rsidR="00190B3F" w:rsidRPr="00190B3F" w:rsidRDefault="00034DAB" w:rsidP="00190B3F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>«</w:t>
      </w:r>
      <w:r w:rsidR="00190B3F" w:rsidRPr="00190B3F">
        <w:rPr>
          <w:b/>
          <w:sz w:val="28"/>
          <w:szCs w:val="28"/>
        </w:rPr>
        <w:t>Система поддержки жизненного цикла издели</w:t>
      </w:r>
      <w:r w:rsidR="002B5690">
        <w:rPr>
          <w:b/>
          <w:sz w:val="28"/>
          <w:szCs w:val="28"/>
        </w:rPr>
        <w:t>я</w:t>
      </w:r>
      <w:r w:rsidR="00190B3F" w:rsidRPr="00190B3F">
        <w:rPr>
          <w:b/>
          <w:sz w:val="28"/>
          <w:szCs w:val="28"/>
        </w:rPr>
        <w:t xml:space="preserve">. </w:t>
      </w:r>
    </w:p>
    <w:p w14:paraId="25747F59" w14:textId="77777777" w:rsidR="00034DAB" w:rsidRPr="000B07B3" w:rsidRDefault="00190B3F" w:rsidP="00190B3F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190B3F">
        <w:rPr>
          <w:b/>
          <w:sz w:val="28"/>
          <w:szCs w:val="28"/>
        </w:rPr>
        <w:t>Основные положения</w:t>
      </w:r>
      <w:r w:rsidR="00034DAB" w:rsidRPr="000B07B3">
        <w:rPr>
          <w:b/>
          <w:sz w:val="28"/>
          <w:szCs w:val="28"/>
        </w:rPr>
        <w:t>»</w:t>
      </w:r>
      <w:r w:rsidR="00034DAB" w:rsidRPr="000B07B3">
        <w:rPr>
          <w:b/>
          <w:sz w:val="28"/>
          <w:szCs w:val="28"/>
          <w:highlight w:val="yellow"/>
        </w:rPr>
        <w:t xml:space="preserve"> </w:t>
      </w:r>
    </w:p>
    <w:p w14:paraId="014632BB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7D14E8A7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262E3BC4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56B79F33" w14:textId="77777777" w:rsidR="00085BCB" w:rsidRDefault="00FF4361" w:rsidP="00B14AB8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>«</w:t>
      </w:r>
      <w:r w:rsidR="00190B3F" w:rsidRPr="00190B3F">
        <w:rPr>
          <w:sz w:val="28"/>
          <w:szCs w:val="28"/>
        </w:rPr>
        <w:t>Система поддержки жизненного цикла издели</w:t>
      </w:r>
      <w:r w:rsidR="00B14AB8">
        <w:rPr>
          <w:sz w:val="28"/>
          <w:szCs w:val="28"/>
        </w:rPr>
        <w:t>я</w:t>
      </w:r>
      <w:r w:rsidR="00190B3F" w:rsidRPr="00190B3F">
        <w:rPr>
          <w:sz w:val="28"/>
          <w:szCs w:val="28"/>
        </w:rPr>
        <w:t>. Основные положения</w:t>
      </w:r>
      <w:r w:rsidR="00034DAB" w:rsidRPr="00034DAB">
        <w:rPr>
          <w:sz w:val="28"/>
          <w:szCs w:val="28"/>
        </w:rPr>
        <w:t xml:space="preserve">»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</w:t>
      </w:r>
      <w:bookmarkStart w:id="0" w:name="_Hlk224721032"/>
      <w:r w:rsidR="00902BBE" w:rsidRPr="00190B3F">
        <w:rPr>
          <w:rFonts w:eastAsia="Calibri"/>
          <w:sz w:val="28"/>
          <w:szCs w:val="28"/>
        </w:rPr>
        <w:t>Перспективн</w:t>
      </w:r>
      <w:r w:rsidR="00902BBE">
        <w:rPr>
          <w:rFonts w:eastAsia="Calibri"/>
          <w:sz w:val="28"/>
          <w:szCs w:val="28"/>
        </w:rPr>
        <w:t>ой</w:t>
      </w:r>
      <w:r w:rsidR="00902BBE" w:rsidRPr="00190B3F">
        <w:rPr>
          <w:rFonts w:eastAsia="Calibri"/>
          <w:sz w:val="28"/>
          <w:szCs w:val="28"/>
        </w:rPr>
        <w:t xml:space="preserve"> программ</w:t>
      </w:r>
      <w:r w:rsidR="00902BBE">
        <w:rPr>
          <w:rFonts w:eastAsia="Calibri"/>
          <w:sz w:val="28"/>
          <w:szCs w:val="28"/>
        </w:rPr>
        <w:t>ы</w:t>
      </w:r>
      <w:r w:rsidR="00902BBE" w:rsidRPr="00190B3F">
        <w:rPr>
          <w:rFonts w:eastAsia="Calibri"/>
          <w:sz w:val="28"/>
          <w:szCs w:val="28"/>
        </w:rPr>
        <w:t xml:space="preserve"> стандартизации в области поддержки жизненного цикла изделий на 2024-2026 гг. (поручение председателя Правительства РФ ММ-П10-17296 от 29.11.2023)</w:t>
      </w:r>
      <w:r w:rsidR="00902BBE">
        <w:rPr>
          <w:rFonts w:eastAsia="Calibri"/>
          <w:sz w:val="28"/>
          <w:szCs w:val="28"/>
        </w:rPr>
        <w:t>,</w:t>
      </w:r>
      <w:r w:rsidR="00902BBE" w:rsidRPr="00190B3F">
        <w:rPr>
          <w:rFonts w:eastAsia="Calibri"/>
          <w:sz w:val="28"/>
          <w:szCs w:val="28"/>
        </w:rPr>
        <w:t xml:space="preserve"> Программ</w:t>
      </w:r>
      <w:r w:rsidR="00902BBE">
        <w:rPr>
          <w:rFonts w:eastAsia="Calibri"/>
          <w:sz w:val="28"/>
          <w:szCs w:val="28"/>
        </w:rPr>
        <w:t>ы</w:t>
      </w:r>
      <w:r w:rsidR="00902BBE" w:rsidRPr="00190B3F">
        <w:rPr>
          <w:rFonts w:eastAsia="Calibri"/>
          <w:sz w:val="28"/>
          <w:szCs w:val="28"/>
        </w:rPr>
        <w:t xml:space="preserve"> национальной стандартизации на 2025 г</w:t>
      </w:r>
      <w:r w:rsidR="00902BBE">
        <w:rPr>
          <w:rFonts w:eastAsia="Calibri"/>
          <w:sz w:val="28"/>
          <w:szCs w:val="28"/>
        </w:rPr>
        <w:t>.</w:t>
      </w:r>
      <w:r w:rsidR="00902BBE" w:rsidRPr="00034DAB">
        <w:rPr>
          <w:rFonts w:eastAsia="Calibri"/>
          <w:sz w:val="28"/>
          <w:szCs w:val="28"/>
        </w:rPr>
        <w:t xml:space="preserve"> (шифр темы </w:t>
      </w:r>
      <w:r w:rsidR="00902BBE" w:rsidRPr="00190B3F">
        <w:rPr>
          <w:rFonts w:eastAsia="Calibri"/>
          <w:sz w:val="28"/>
          <w:szCs w:val="28"/>
        </w:rPr>
        <w:t>1.0.482-1.09</w:t>
      </w:r>
      <w:r w:rsidR="00902BBE">
        <w:rPr>
          <w:rFonts w:eastAsia="Calibri"/>
          <w:sz w:val="28"/>
          <w:szCs w:val="28"/>
        </w:rPr>
        <w:t>6</w:t>
      </w:r>
      <w:r w:rsidR="00902BBE" w:rsidRPr="00190B3F">
        <w:rPr>
          <w:rFonts w:eastAsia="Calibri"/>
          <w:sz w:val="28"/>
          <w:szCs w:val="28"/>
        </w:rPr>
        <w:t>.25</w:t>
      </w:r>
      <w:r w:rsidR="00902BBE" w:rsidRPr="00034DAB">
        <w:rPr>
          <w:rFonts w:eastAsia="Calibri"/>
          <w:sz w:val="28"/>
          <w:szCs w:val="28"/>
        </w:rPr>
        <w:t xml:space="preserve">) </w:t>
      </w:r>
      <w:r w:rsidR="00902BBE" w:rsidRPr="00097096">
        <w:rPr>
          <w:sz w:val="28"/>
          <w:szCs w:val="28"/>
        </w:rPr>
        <w:t xml:space="preserve">и </w:t>
      </w:r>
      <w:r w:rsidR="00902BBE">
        <w:rPr>
          <w:sz w:val="28"/>
          <w:szCs w:val="28"/>
        </w:rPr>
        <w:t xml:space="preserve">государственного контракта </w:t>
      </w:r>
      <w:r w:rsidR="00902BBE" w:rsidRPr="00B14AB8">
        <w:rPr>
          <w:sz w:val="28"/>
          <w:szCs w:val="28"/>
        </w:rPr>
        <w:t>№</w:t>
      </w:r>
      <w:r w:rsidR="00902BBE">
        <w:rPr>
          <w:sz w:val="28"/>
          <w:szCs w:val="28"/>
        </w:rPr>
        <w:t xml:space="preserve"> </w:t>
      </w:r>
      <w:r w:rsidR="00902BBE" w:rsidRPr="00B14AB8">
        <w:rPr>
          <w:sz w:val="28"/>
          <w:szCs w:val="28"/>
        </w:rPr>
        <w:t>130-23/2025</w:t>
      </w:r>
      <w:r w:rsidR="00902BBE">
        <w:rPr>
          <w:sz w:val="28"/>
          <w:szCs w:val="28"/>
        </w:rPr>
        <w:t xml:space="preserve"> от 01 апреля 2025 г. </w:t>
      </w:r>
      <w:r w:rsidR="00902BBE" w:rsidRPr="00B14AB8">
        <w:rPr>
          <w:sz w:val="28"/>
          <w:szCs w:val="28"/>
        </w:rPr>
        <w:t>(идентификационный код закупки: 251770640629177030100100440017112244)</w:t>
      </w:r>
      <w:r w:rsidR="00902BBE" w:rsidRPr="00097096">
        <w:rPr>
          <w:sz w:val="28"/>
          <w:szCs w:val="28"/>
        </w:rPr>
        <w:t>.</w:t>
      </w:r>
      <w:bookmarkEnd w:id="0"/>
    </w:p>
    <w:p w14:paraId="5D634EED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45D7CD6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02F023E5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519DA723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2821C43B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3271E619" w14:textId="143485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030C8F">
        <w:rPr>
          <w:sz w:val="28"/>
          <w:szCs w:val="28"/>
        </w:rPr>
        <w:t>, касающихся рассматриваемого в стандарте аспекта</w:t>
      </w:r>
      <w:r w:rsidR="00030C8F" w:rsidRPr="008F36DF">
        <w:rPr>
          <w:sz w:val="28"/>
          <w:szCs w:val="28"/>
        </w:rPr>
        <w:t>.</w:t>
      </w:r>
    </w:p>
    <w:p w14:paraId="56951EAE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31C6CBA2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327ED833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4738E7E8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6D257EC7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527D8DC8" w14:textId="77777777" w:rsidR="00684C90" w:rsidRPr="008F36DF" w:rsidRDefault="00684C90" w:rsidP="00684C9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разработан в соответствии с основными положениями Федерального закона от 29 июня 2015 г. № 162-ФЗ «О стандартизации в Российской Федерации» и основополагающими национальными стандартами Российской Федерации.</w:t>
      </w:r>
    </w:p>
    <w:p w14:paraId="35B5044E" w14:textId="77777777" w:rsidR="00684C90" w:rsidRPr="008F36DF" w:rsidRDefault="00684C90" w:rsidP="00684C9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</w:t>
      </w:r>
      <w:r w:rsidRPr="008F36DF">
        <w:rPr>
          <w:sz w:val="28"/>
          <w:szCs w:val="28"/>
        </w:rPr>
        <w:lastRenderedPageBreak/>
        <w:t>национальных стандартов, разработанных для содействия соблюдению требований технических регламентов.</w:t>
      </w:r>
    </w:p>
    <w:p w14:paraId="7C72E538" w14:textId="77777777" w:rsidR="00684C90" w:rsidRPr="008F36DF" w:rsidRDefault="00684C90" w:rsidP="00684C9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5ED0A115" w14:textId="77777777" w:rsidR="00684C90" w:rsidRPr="008F36DF" w:rsidRDefault="00684C90" w:rsidP="00684C90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04C099B2" w14:textId="77777777" w:rsidR="00684C90" w:rsidRPr="008F36DF" w:rsidRDefault="00684C90" w:rsidP="00684C90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6BD4E6D3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Проект стандарта разработан для установления основных по</w:t>
      </w:r>
      <w:r w:rsidR="0074271F" w:rsidRPr="0074271F">
        <w:rPr>
          <w:sz w:val="28"/>
          <w:szCs w:val="28"/>
        </w:rPr>
        <w:t>л</w:t>
      </w:r>
      <w:r w:rsidRPr="0074271F">
        <w:rPr>
          <w:sz w:val="28"/>
          <w:szCs w:val="28"/>
        </w:rPr>
        <w:t xml:space="preserve">ожений в отношении комплекса стандартов «Система поддержки жизненного цикла изделия» (далее — стандарты СПЖЦ). </w:t>
      </w:r>
    </w:p>
    <w:p w14:paraId="61A83073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 xml:space="preserve">Проект стандарта устанавливает цели и задачи стандартов </w:t>
      </w:r>
      <w:r w:rsidR="0074271F" w:rsidRPr="0074271F">
        <w:rPr>
          <w:sz w:val="28"/>
          <w:szCs w:val="28"/>
        </w:rPr>
        <w:t>СПЖЦ</w:t>
      </w:r>
      <w:r w:rsidRPr="0074271F">
        <w:rPr>
          <w:sz w:val="28"/>
          <w:szCs w:val="28"/>
        </w:rPr>
        <w:t xml:space="preserve"> </w:t>
      </w:r>
      <w:r w:rsidR="0074271F" w:rsidRPr="0074271F">
        <w:rPr>
          <w:sz w:val="28"/>
          <w:szCs w:val="28"/>
        </w:rPr>
        <w:t xml:space="preserve">для </w:t>
      </w:r>
      <w:r w:rsidRPr="0074271F">
        <w:rPr>
          <w:sz w:val="28"/>
          <w:szCs w:val="28"/>
        </w:rPr>
        <w:t xml:space="preserve">изделий </w:t>
      </w:r>
      <w:r w:rsidR="0074271F" w:rsidRPr="0074271F">
        <w:rPr>
          <w:sz w:val="28"/>
          <w:szCs w:val="28"/>
        </w:rPr>
        <w:t xml:space="preserve">всех отраслей </w:t>
      </w:r>
      <w:r w:rsidRPr="0074271F">
        <w:rPr>
          <w:sz w:val="28"/>
          <w:szCs w:val="28"/>
        </w:rPr>
        <w:t>машиностроения (далее — изделий), аспекты стандартизации, состав классификационных групп стандартов и правила их обозначения.</w:t>
      </w:r>
    </w:p>
    <w:p w14:paraId="0C57991A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Стандарт предусматривает следующие классификационные группы стандартов</w:t>
      </w:r>
      <w:r w:rsidR="0074271F" w:rsidRPr="0074271F">
        <w:rPr>
          <w:sz w:val="28"/>
          <w:szCs w:val="28"/>
        </w:rPr>
        <w:t xml:space="preserve"> СПЖЦ</w:t>
      </w:r>
      <w:r w:rsidRPr="0074271F">
        <w:rPr>
          <w:sz w:val="28"/>
          <w:szCs w:val="28"/>
        </w:rPr>
        <w:t xml:space="preserve">: </w:t>
      </w:r>
    </w:p>
    <w:p w14:paraId="17992E73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- основные положения;</w:t>
      </w:r>
    </w:p>
    <w:p w14:paraId="6A97A780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- общие требования;</w:t>
      </w:r>
    </w:p>
    <w:p w14:paraId="5701BC67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 xml:space="preserve">- технологии управления процессами </w:t>
      </w:r>
      <w:r w:rsidR="0074271F">
        <w:rPr>
          <w:sz w:val="28"/>
          <w:szCs w:val="28"/>
        </w:rPr>
        <w:t>жизненного цикла</w:t>
      </w:r>
      <w:r w:rsidRPr="0074271F">
        <w:rPr>
          <w:sz w:val="28"/>
          <w:szCs w:val="28"/>
        </w:rPr>
        <w:t xml:space="preserve"> изделия;</w:t>
      </w:r>
    </w:p>
    <w:p w14:paraId="78A5B2A0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- информационные модели изделия;</w:t>
      </w:r>
    </w:p>
    <w:p w14:paraId="07C2A3F5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 xml:space="preserve">- программные средства поддержки </w:t>
      </w:r>
      <w:r w:rsidR="00B21D4A">
        <w:rPr>
          <w:sz w:val="28"/>
          <w:szCs w:val="28"/>
        </w:rPr>
        <w:t>жизненного цикла</w:t>
      </w:r>
      <w:r w:rsidRPr="0074271F">
        <w:rPr>
          <w:sz w:val="28"/>
          <w:szCs w:val="28"/>
        </w:rPr>
        <w:t>.</w:t>
      </w:r>
    </w:p>
    <w:p w14:paraId="51189CFC" w14:textId="77777777" w:rsidR="009A236A" w:rsidRPr="0074271F" w:rsidRDefault="009A236A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 xml:space="preserve">Стандарт предназначен для применения при разработке и внедрении национальных стандартов, регламентирующих разные аспекты поддержки </w:t>
      </w:r>
      <w:r w:rsidR="00B21D4A">
        <w:rPr>
          <w:sz w:val="28"/>
          <w:szCs w:val="28"/>
        </w:rPr>
        <w:t>жизненного цикла</w:t>
      </w:r>
      <w:r w:rsidRPr="0074271F">
        <w:rPr>
          <w:sz w:val="28"/>
          <w:szCs w:val="28"/>
        </w:rPr>
        <w:t xml:space="preserve"> изделий.</w:t>
      </w:r>
    </w:p>
    <w:p w14:paraId="384B451E" w14:textId="77777777" w:rsidR="0074271F" w:rsidRPr="0074271F" w:rsidRDefault="00684C90" w:rsidP="0074271F">
      <w:pPr>
        <w:spacing w:line="360" w:lineRule="auto"/>
        <w:ind w:firstLine="708"/>
        <w:rPr>
          <w:sz w:val="28"/>
          <w:szCs w:val="28"/>
        </w:rPr>
      </w:pPr>
      <w:r w:rsidRPr="00932222">
        <w:rPr>
          <w:sz w:val="28"/>
          <w:szCs w:val="28"/>
        </w:rPr>
        <w:t xml:space="preserve">Проект стандарта </w:t>
      </w:r>
      <w:r w:rsidR="0074271F">
        <w:rPr>
          <w:sz w:val="28"/>
          <w:szCs w:val="28"/>
        </w:rPr>
        <w:t>устанавливает ц</w:t>
      </w:r>
      <w:r w:rsidR="0074271F" w:rsidRPr="0074271F">
        <w:rPr>
          <w:sz w:val="28"/>
          <w:szCs w:val="28"/>
        </w:rPr>
        <w:t>ели внедрения стандартов СПЖЦ:</w:t>
      </w:r>
    </w:p>
    <w:p w14:paraId="3AA75402" w14:textId="77777777" w:rsidR="0074271F" w:rsidRPr="0074271F" w:rsidRDefault="0074271F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- обеспечение совместного применения стандартов, регламентирующих разные аспекты</w:t>
      </w:r>
      <w:r>
        <w:rPr>
          <w:sz w:val="28"/>
          <w:szCs w:val="28"/>
        </w:rPr>
        <w:t xml:space="preserve"> жизненного цикла</w:t>
      </w:r>
      <w:r w:rsidRPr="0074271F">
        <w:rPr>
          <w:sz w:val="28"/>
          <w:szCs w:val="28"/>
        </w:rPr>
        <w:t xml:space="preserve"> изделия;</w:t>
      </w:r>
    </w:p>
    <w:p w14:paraId="404EAED6" w14:textId="77777777" w:rsidR="0074271F" w:rsidRPr="0074271F" w:rsidRDefault="0074271F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lastRenderedPageBreak/>
        <w:t xml:space="preserve">- повышение эффективности процессов </w:t>
      </w:r>
      <w:r>
        <w:rPr>
          <w:sz w:val="28"/>
          <w:szCs w:val="28"/>
        </w:rPr>
        <w:t>жизненного цикла</w:t>
      </w:r>
      <w:r w:rsidRPr="0074271F">
        <w:rPr>
          <w:sz w:val="28"/>
          <w:szCs w:val="28"/>
        </w:rPr>
        <w:t xml:space="preserve"> на основе более широкого внедрения цифровых технологий и повышения интероперабельности программных средств в составе российского промышленного программного обеспечения;</w:t>
      </w:r>
    </w:p>
    <w:p w14:paraId="259626FA" w14:textId="77777777" w:rsidR="0074271F" w:rsidRPr="0074271F" w:rsidRDefault="0074271F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 xml:space="preserve">- снижение издержек субъектов </w:t>
      </w:r>
      <w:r>
        <w:rPr>
          <w:sz w:val="28"/>
          <w:szCs w:val="28"/>
        </w:rPr>
        <w:t>жизненного цикла</w:t>
      </w:r>
      <w:r w:rsidRPr="0074271F">
        <w:rPr>
          <w:sz w:val="28"/>
          <w:szCs w:val="28"/>
        </w:rPr>
        <w:t xml:space="preserve"> изделия (заказчиков, разработчиков, изготовителей, пользователей изделий и других) на основе взаимной увязки и координации процессов </w:t>
      </w:r>
      <w:r>
        <w:rPr>
          <w:sz w:val="28"/>
          <w:szCs w:val="28"/>
        </w:rPr>
        <w:t>жизненного цикла</w:t>
      </w:r>
      <w:r w:rsidRPr="0074271F">
        <w:rPr>
          <w:sz w:val="28"/>
          <w:szCs w:val="28"/>
        </w:rPr>
        <w:t>, осуществляемых разными субъектами;</w:t>
      </w:r>
    </w:p>
    <w:p w14:paraId="0C62197E" w14:textId="77777777" w:rsidR="0074271F" w:rsidRPr="0074271F" w:rsidRDefault="0074271F" w:rsidP="0074271F">
      <w:pPr>
        <w:spacing w:line="360" w:lineRule="auto"/>
        <w:ind w:firstLine="708"/>
        <w:rPr>
          <w:sz w:val="28"/>
          <w:szCs w:val="28"/>
        </w:rPr>
      </w:pPr>
      <w:r w:rsidRPr="0074271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4271F">
        <w:rPr>
          <w:sz w:val="28"/>
          <w:szCs w:val="28"/>
        </w:rPr>
        <w:t>сокращение сроков создания новых (модернизованных, модифицированных) изделий.</w:t>
      </w:r>
    </w:p>
    <w:p w14:paraId="2A78B3FE" w14:textId="77777777" w:rsidR="00684C90" w:rsidRDefault="00684C90" w:rsidP="00684C9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Национальный с</w:t>
      </w:r>
      <w:r w:rsidRPr="00932222">
        <w:rPr>
          <w:sz w:val="28"/>
          <w:szCs w:val="28"/>
        </w:rPr>
        <w:t>тандарт предназначен для применения при разработке и внедрении национальных стандартов, регламентирующих разные аспекты поддержки жизненного цикла изделий, а также при осуществлении указанной деятельности, включая разработку промышленных (инженерных и производственных) программных средств</w:t>
      </w:r>
      <w:r>
        <w:rPr>
          <w:sz w:val="28"/>
          <w:szCs w:val="28"/>
        </w:rPr>
        <w:t xml:space="preserve"> </w:t>
      </w:r>
      <w:r w:rsidRPr="00932222">
        <w:rPr>
          <w:sz w:val="28"/>
          <w:szCs w:val="28"/>
        </w:rPr>
        <w:t>поддержки жизненного цикла изделий</w:t>
      </w:r>
      <w:r>
        <w:rPr>
          <w:sz w:val="28"/>
          <w:szCs w:val="28"/>
        </w:rPr>
        <w:t xml:space="preserve"> и обеспечения их интероперабельности</w:t>
      </w:r>
      <w:r w:rsidRPr="00932222">
        <w:rPr>
          <w:sz w:val="28"/>
          <w:szCs w:val="28"/>
        </w:rPr>
        <w:t>.</w:t>
      </w:r>
    </w:p>
    <w:p w14:paraId="739DDA1B" w14:textId="77777777" w:rsidR="00684C90" w:rsidRPr="008F36DF" w:rsidRDefault="00684C90" w:rsidP="00684C90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09C53EEA" w14:textId="77777777" w:rsidR="00684C90" w:rsidRPr="00BA1E82" w:rsidRDefault="00684C90" w:rsidP="00684C90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6F0B4948" w14:textId="77777777" w:rsidR="00D01848" w:rsidRPr="00D01848" w:rsidRDefault="00D01848" w:rsidP="00D01848">
      <w:pPr>
        <w:spacing w:line="360" w:lineRule="auto"/>
        <w:rPr>
          <w:sz w:val="28"/>
          <w:szCs w:val="28"/>
        </w:rPr>
      </w:pPr>
      <w:r w:rsidRPr="00D01848">
        <w:rPr>
          <w:sz w:val="28"/>
          <w:szCs w:val="28"/>
        </w:rPr>
        <w:t xml:space="preserve">В ходе рассмотрения первой редакции проекта ГОСТ Р поступили замечания и предложения от 53 организации. В отзывах 29 организаций замечания и предложения отсутствуют. </w:t>
      </w:r>
    </w:p>
    <w:p w14:paraId="1F074ACA" w14:textId="77777777" w:rsidR="00D01848" w:rsidRPr="00D01848" w:rsidRDefault="00D01848" w:rsidP="00D01848">
      <w:pPr>
        <w:spacing w:line="360" w:lineRule="auto"/>
        <w:rPr>
          <w:sz w:val="28"/>
          <w:szCs w:val="28"/>
        </w:rPr>
      </w:pPr>
      <w:r w:rsidRPr="00D01848">
        <w:rPr>
          <w:sz w:val="28"/>
          <w:szCs w:val="28"/>
        </w:rPr>
        <w:t xml:space="preserve">Замечания и предложения поступили от 24 организаций: АО «Концерн «Созвездие», АО «Концерн ВКО «Алмаз-Антей», АО «Невское ПКБ», АО «НИПТБ «Онега», АО «Системы управления», АО «ЦКБ МТ «Рубин», АО «ЦС «Звездочка», ООО «ТМХ Интеллектуальные системы», ПАО «Яковлев», ФГУП «ВНИИ «Центр», АО «ЦНИИточмаш», ПАО «ОДК-УМПО», АО «КРЭМЗ», АО «НИИАА», ООО «ТМХ Технологии», АО «Коломенский завод», АО «СПМБМ «Малахит», АО «Туполев», ООО «ТМХ Инжиниринг», </w:t>
      </w:r>
      <w:r w:rsidRPr="00D01848">
        <w:rPr>
          <w:sz w:val="28"/>
          <w:szCs w:val="28"/>
        </w:rPr>
        <w:lastRenderedPageBreak/>
        <w:t xml:space="preserve">НИЦ «Курчатовский институт», ПАО «Ил», АО «У-УАЗ», АО «ПО «Севмаш», АО «НПП «Респиратор». </w:t>
      </w:r>
    </w:p>
    <w:p w14:paraId="75CCF621" w14:textId="77777777" w:rsidR="00D01848" w:rsidRPr="00D01848" w:rsidRDefault="00D01848" w:rsidP="00D01848">
      <w:pPr>
        <w:spacing w:line="360" w:lineRule="auto"/>
        <w:rPr>
          <w:sz w:val="28"/>
          <w:szCs w:val="28"/>
        </w:rPr>
      </w:pPr>
      <w:r w:rsidRPr="00D01848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143 полученных замечаний: принято – 94, принято частично – 26, отклонено – 18 (обоснования приведены в сводке отзывов), принято к сведению – 5.</w:t>
      </w:r>
    </w:p>
    <w:p w14:paraId="530B4C85" w14:textId="77777777" w:rsidR="00684C90" w:rsidRDefault="00684C90" w:rsidP="00C66DE9">
      <w:pPr>
        <w:spacing w:line="360" w:lineRule="auto"/>
        <w:rPr>
          <w:sz w:val="28"/>
          <w:szCs w:val="28"/>
        </w:rPr>
      </w:pPr>
      <w:r w:rsidRPr="005C23D5">
        <w:rPr>
          <w:sz w:val="28"/>
          <w:szCs w:val="28"/>
        </w:rPr>
        <w:t xml:space="preserve">Проект стандарта существенно доработан по замечаниям </w:t>
      </w:r>
      <w:r w:rsidRPr="000667CE">
        <w:rPr>
          <w:sz w:val="28"/>
          <w:szCs w:val="28"/>
        </w:rPr>
        <w:t xml:space="preserve">АО «Концерн ВКО «Алмаз-Антей», </w:t>
      </w:r>
      <w:r w:rsidR="00D01848" w:rsidRPr="00D01848">
        <w:rPr>
          <w:sz w:val="28"/>
          <w:szCs w:val="28"/>
        </w:rPr>
        <w:t xml:space="preserve">АО «Концерн «Созвездие», </w:t>
      </w:r>
      <w:r w:rsidRPr="000667CE">
        <w:rPr>
          <w:sz w:val="28"/>
          <w:szCs w:val="28"/>
        </w:rPr>
        <w:t>АО «КБП», Группа «ТМХ», АО «ЦНИИмаш», ФГУП «ВНИИ «Центр», АО «НЦВ Миль и Камов»</w:t>
      </w:r>
      <w:r>
        <w:rPr>
          <w:sz w:val="28"/>
          <w:szCs w:val="28"/>
        </w:rPr>
        <w:t xml:space="preserve">, </w:t>
      </w:r>
      <w:r w:rsidRPr="003A5330">
        <w:rPr>
          <w:sz w:val="28"/>
          <w:szCs w:val="28"/>
        </w:rPr>
        <w:t>АО «Туполев», АО «ОСК», АО «ЦКБ МТ «Рубин»</w:t>
      </w:r>
      <w:r w:rsidR="00D01848">
        <w:rPr>
          <w:sz w:val="28"/>
          <w:szCs w:val="28"/>
        </w:rPr>
        <w:t>,</w:t>
      </w:r>
      <w:r w:rsidRPr="000667CE">
        <w:rPr>
          <w:sz w:val="28"/>
          <w:szCs w:val="28"/>
        </w:rPr>
        <w:t xml:space="preserve"> </w:t>
      </w:r>
      <w:r w:rsidR="00D01848" w:rsidRPr="00D01848">
        <w:rPr>
          <w:sz w:val="28"/>
          <w:szCs w:val="28"/>
        </w:rPr>
        <w:t>АО «ЦНИИточмаш»,</w:t>
      </w:r>
      <w:r w:rsidR="00D16D31" w:rsidRPr="00D16D31">
        <w:rPr>
          <w:color w:val="FF0000"/>
          <w:sz w:val="28"/>
          <w:szCs w:val="28"/>
        </w:rPr>
        <w:t xml:space="preserve"> </w:t>
      </w:r>
      <w:r w:rsidR="00D16D31" w:rsidRPr="0044059B">
        <w:rPr>
          <w:sz w:val="28"/>
          <w:szCs w:val="28"/>
        </w:rPr>
        <w:t xml:space="preserve">АО «Коломенский завод», АО «НПП «Респиратор» </w:t>
      </w:r>
      <w:r w:rsidRPr="000667CE">
        <w:rPr>
          <w:sz w:val="28"/>
          <w:szCs w:val="28"/>
        </w:rPr>
        <w:t>и других</w:t>
      </w:r>
      <w:r>
        <w:rPr>
          <w:sz w:val="28"/>
          <w:szCs w:val="28"/>
        </w:rPr>
        <w:t xml:space="preserve"> организаций</w:t>
      </w:r>
      <w:r w:rsidRPr="005C23D5">
        <w:rPr>
          <w:sz w:val="28"/>
          <w:szCs w:val="28"/>
        </w:rPr>
        <w:t xml:space="preserve">. </w:t>
      </w:r>
    </w:p>
    <w:p w14:paraId="73835FF5" w14:textId="662C8D8D" w:rsidR="00684C90" w:rsidRPr="00C66DE9" w:rsidRDefault="00684C90" w:rsidP="0044059B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 xml:space="preserve">Окончательная редакция проекта стандарта рассмотрена членами ТК </w:t>
      </w:r>
      <w:r w:rsidRPr="00C66DE9">
        <w:rPr>
          <w:sz w:val="28"/>
          <w:szCs w:val="28"/>
        </w:rPr>
        <w:t xml:space="preserve">482 «Поддержка жизненного цикла продукции», в результате чего поступили отзывы от </w:t>
      </w:r>
      <w:r w:rsidR="00B115D7">
        <w:rPr>
          <w:sz w:val="28"/>
          <w:szCs w:val="28"/>
        </w:rPr>
        <w:t>7</w:t>
      </w:r>
      <w:r w:rsidRPr="00C66DE9">
        <w:rPr>
          <w:sz w:val="28"/>
          <w:szCs w:val="28"/>
        </w:rPr>
        <w:t xml:space="preserve"> организаций: </w:t>
      </w:r>
      <w:r w:rsidR="0044059B" w:rsidRPr="00C66DE9">
        <w:rPr>
          <w:sz w:val="28"/>
          <w:szCs w:val="28"/>
        </w:rPr>
        <w:t>АО «НЦВ Миль и Камов», АО «КБП», АО «Концерн ВКО «Алмаз-Антей», АО «ЦКБ МТ «Рубин», АО «ЦНИИмаш»,</w:t>
      </w:r>
      <w:r w:rsidR="00797E73" w:rsidRPr="00C66DE9">
        <w:rPr>
          <w:sz w:val="28"/>
          <w:szCs w:val="28"/>
        </w:rPr>
        <w:t xml:space="preserve"> </w:t>
      </w:r>
      <w:r w:rsidR="0044059B" w:rsidRPr="00C66DE9">
        <w:rPr>
          <w:sz w:val="28"/>
          <w:szCs w:val="28"/>
        </w:rPr>
        <w:t>ГК «ТМХ»,</w:t>
      </w:r>
      <w:r w:rsidR="00797E73" w:rsidRPr="00C66DE9">
        <w:rPr>
          <w:sz w:val="28"/>
          <w:szCs w:val="28"/>
        </w:rPr>
        <w:t xml:space="preserve"> ООО «КСК»</w:t>
      </w:r>
      <w:r w:rsidRPr="00C66DE9">
        <w:rPr>
          <w:sz w:val="28"/>
          <w:szCs w:val="28"/>
        </w:rPr>
        <w:t xml:space="preserve">. В отзывах </w:t>
      </w:r>
      <w:r w:rsidR="00797E73" w:rsidRPr="00C66DE9">
        <w:rPr>
          <w:sz w:val="28"/>
          <w:szCs w:val="28"/>
        </w:rPr>
        <w:t>20</w:t>
      </w:r>
      <w:r w:rsidRPr="00C66DE9">
        <w:rPr>
          <w:sz w:val="28"/>
          <w:szCs w:val="28"/>
        </w:rPr>
        <w:t xml:space="preserve"> организаций замечания и предложения отсутствуют.</w:t>
      </w:r>
    </w:p>
    <w:p w14:paraId="12052B73" w14:textId="4CDC6D1D" w:rsidR="00684C90" w:rsidRPr="00EE2662" w:rsidRDefault="00684C90" w:rsidP="00684C90">
      <w:pPr>
        <w:spacing w:line="360" w:lineRule="auto"/>
        <w:rPr>
          <w:sz w:val="28"/>
          <w:szCs w:val="28"/>
        </w:rPr>
      </w:pPr>
      <w:r w:rsidRPr="00C66DE9">
        <w:rPr>
          <w:sz w:val="28"/>
          <w:szCs w:val="28"/>
        </w:rPr>
        <w:t>По всем полученным от организаций замечаниям и предложениям</w:t>
      </w:r>
      <w:r w:rsidRPr="0090600E">
        <w:rPr>
          <w:sz w:val="28"/>
          <w:szCs w:val="28"/>
        </w:rPr>
        <w:t xml:space="preserve"> составлена сводка отзывов, на основании которой подготовлена окончательная редакция проекта ГОСТ Р. </w:t>
      </w:r>
      <w:r w:rsidRPr="00EE2662">
        <w:rPr>
          <w:sz w:val="28"/>
          <w:szCs w:val="28"/>
        </w:rPr>
        <w:t xml:space="preserve">Из </w:t>
      </w:r>
      <w:r w:rsidR="0044059B">
        <w:rPr>
          <w:sz w:val="28"/>
          <w:szCs w:val="28"/>
        </w:rPr>
        <w:t>2</w:t>
      </w:r>
      <w:r w:rsidR="000B2BE7">
        <w:rPr>
          <w:sz w:val="28"/>
          <w:szCs w:val="28"/>
        </w:rPr>
        <w:t>4</w:t>
      </w:r>
      <w:r w:rsidRPr="00EE2662">
        <w:rPr>
          <w:sz w:val="28"/>
          <w:szCs w:val="28"/>
        </w:rPr>
        <w:t xml:space="preserve"> полученн</w:t>
      </w:r>
      <w:r w:rsidR="000B2BE7">
        <w:rPr>
          <w:sz w:val="28"/>
          <w:szCs w:val="28"/>
        </w:rPr>
        <w:t>ых</w:t>
      </w:r>
      <w:r w:rsidRPr="00EE2662">
        <w:rPr>
          <w:sz w:val="28"/>
          <w:szCs w:val="28"/>
        </w:rPr>
        <w:t xml:space="preserve"> замечани</w:t>
      </w:r>
      <w:r w:rsidR="000B2BE7">
        <w:rPr>
          <w:sz w:val="28"/>
          <w:szCs w:val="28"/>
        </w:rPr>
        <w:t>й</w:t>
      </w:r>
      <w:r w:rsidRPr="00EE2662">
        <w:rPr>
          <w:sz w:val="28"/>
          <w:szCs w:val="28"/>
        </w:rPr>
        <w:t xml:space="preserve">: принято – </w:t>
      </w:r>
      <w:r w:rsidR="0044059B" w:rsidRPr="000B2BE7">
        <w:rPr>
          <w:sz w:val="28"/>
          <w:szCs w:val="28"/>
        </w:rPr>
        <w:t>1</w:t>
      </w:r>
      <w:r w:rsidR="000B2BE7" w:rsidRPr="000B2BE7">
        <w:rPr>
          <w:sz w:val="28"/>
          <w:szCs w:val="28"/>
        </w:rPr>
        <w:t>5</w:t>
      </w:r>
      <w:r w:rsidRPr="000B2BE7">
        <w:rPr>
          <w:sz w:val="28"/>
          <w:szCs w:val="28"/>
        </w:rPr>
        <w:t xml:space="preserve">, принято частично – </w:t>
      </w:r>
      <w:r w:rsidR="000B2BE7" w:rsidRPr="000B2BE7">
        <w:rPr>
          <w:sz w:val="28"/>
          <w:szCs w:val="28"/>
        </w:rPr>
        <w:t>5</w:t>
      </w:r>
      <w:r w:rsidRPr="000B2BE7">
        <w:rPr>
          <w:sz w:val="28"/>
          <w:szCs w:val="28"/>
        </w:rPr>
        <w:t xml:space="preserve">, принято к сведению – </w:t>
      </w:r>
      <w:r w:rsidR="0044059B" w:rsidRPr="000B2BE7">
        <w:rPr>
          <w:sz w:val="28"/>
          <w:szCs w:val="28"/>
        </w:rPr>
        <w:t>2</w:t>
      </w:r>
      <w:r w:rsidRPr="000B2BE7">
        <w:rPr>
          <w:sz w:val="28"/>
          <w:szCs w:val="28"/>
        </w:rPr>
        <w:t xml:space="preserve">. Отклонено – </w:t>
      </w:r>
      <w:r w:rsidR="0044059B" w:rsidRPr="000B2BE7">
        <w:rPr>
          <w:sz w:val="28"/>
          <w:szCs w:val="28"/>
        </w:rPr>
        <w:t>2</w:t>
      </w:r>
      <w:r w:rsidRPr="009060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608E8D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7249A4C4" w14:textId="77777777" w:rsidR="001B285E" w:rsidRPr="008F36DF" w:rsidRDefault="00194F18" w:rsidP="001A23D0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</w:t>
      </w:r>
      <w:r w:rsidRPr="008F36DF">
        <w:rPr>
          <w:sz w:val="28"/>
          <w:szCs w:val="28"/>
        </w:rPr>
        <w:lastRenderedPageBreak/>
        <w:t xml:space="preserve">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>«</w:t>
      </w:r>
      <w:r w:rsidR="001A23D0" w:rsidRPr="001A23D0">
        <w:rPr>
          <w:sz w:val="28"/>
          <w:szCs w:val="28"/>
        </w:rPr>
        <w:t>Система поддержки жизненного цикла издели</w:t>
      </w:r>
      <w:r w:rsidR="00B9283F">
        <w:rPr>
          <w:sz w:val="28"/>
          <w:szCs w:val="28"/>
        </w:rPr>
        <w:t>я</w:t>
      </w:r>
      <w:r w:rsidR="001A23D0" w:rsidRPr="001A23D0">
        <w:rPr>
          <w:sz w:val="28"/>
          <w:szCs w:val="28"/>
        </w:rPr>
        <w:t>. Основные положения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5C23D5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1A23D0" w:rsidRPr="001A23D0">
        <w:rPr>
          <w:sz w:val="28"/>
          <w:szCs w:val="28"/>
        </w:rPr>
        <w:t>Перспективн</w:t>
      </w:r>
      <w:r w:rsidR="001A23D0">
        <w:rPr>
          <w:sz w:val="28"/>
          <w:szCs w:val="28"/>
        </w:rPr>
        <w:t>ой</w:t>
      </w:r>
      <w:r w:rsidR="001A23D0" w:rsidRPr="001A23D0">
        <w:rPr>
          <w:sz w:val="28"/>
          <w:szCs w:val="28"/>
        </w:rPr>
        <w:t xml:space="preserve"> программ</w:t>
      </w:r>
      <w:r w:rsidR="001A23D0">
        <w:rPr>
          <w:sz w:val="28"/>
          <w:szCs w:val="28"/>
        </w:rPr>
        <w:t>ы</w:t>
      </w:r>
      <w:r w:rsidR="001A23D0" w:rsidRPr="001A23D0">
        <w:rPr>
          <w:sz w:val="28"/>
          <w:szCs w:val="28"/>
        </w:rPr>
        <w:t xml:space="preserve"> стандартизации в области поддержки жизненного цикла изделий на 2024-2026 гг. и Программ</w:t>
      </w:r>
      <w:r w:rsidR="001A23D0">
        <w:rPr>
          <w:sz w:val="28"/>
          <w:szCs w:val="28"/>
        </w:rPr>
        <w:t>ы</w:t>
      </w:r>
      <w:r w:rsidR="001A23D0" w:rsidRPr="001A23D0">
        <w:rPr>
          <w:sz w:val="28"/>
          <w:szCs w:val="28"/>
        </w:rPr>
        <w:t xml:space="preserve"> национальной стандартизации на 2025 г</w:t>
      </w:r>
      <w:r w:rsidR="003D439A" w:rsidRPr="003D439A">
        <w:rPr>
          <w:sz w:val="28"/>
          <w:szCs w:val="28"/>
        </w:rPr>
        <w:t xml:space="preserve">. (шифр темы </w:t>
      </w:r>
      <w:r w:rsidR="001A23D0" w:rsidRPr="001A23D0">
        <w:rPr>
          <w:color w:val="000000"/>
          <w:sz w:val="28"/>
          <w:szCs w:val="28"/>
        </w:rPr>
        <w:t>1.0.482-1.094.25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1" w:name="_Hlk224722134"/>
      <w:r w:rsidR="005C23D5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5C23D5">
        <w:rPr>
          <w:sz w:val="28"/>
          <w:szCs w:val="28"/>
          <w:highlight w:val="cyan"/>
        </w:rPr>
        <w:t>октября</w:t>
      </w:r>
      <w:r w:rsidR="005C23D5" w:rsidRPr="008B4C1F">
        <w:rPr>
          <w:sz w:val="28"/>
          <w:szCs w:val="28"/>
          <w:highlight w:val="cyan"/>
        </w:rPr>
        <w:t xml:space="preserve"> 2027 г.</w:t>
      </w:r>
      <w:bookmarkEnd w:id="1"/>
      <w:r w:rsidR="005C23D5">
        <w:rPr>
          <w:sz w:val="28"/>
          <w:szCs w:val="28"/>
        </w:rPr>
        <w:t xml:space="preserve"> </w:t>
      </w:r>
      <w:r w:rsidR="005C23D5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0E42E2A0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36FCCB7F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1B17A9E5" w14:textId="77777777" w:rsidR="00C66DE9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rFonts w:eastAsia="Calibri"/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 xml:space="preserve">Поддержка жизненного </w:t>
      </w:r>
    </w:p>
    <w:p w14:paraId="75DD7919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rFonts w:eastAsia="Calibri"/>
          <w:sz w:val="28"/>
          <w:szCs w:val="28"/>
        </w:rPr>
        <w:t>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4C7BBC27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E580" w14:textId="77777777" w:rsidR="003500D1" w:rsidRDefault="003500D1" w:rsidP="00DF305D">
      <w:pPr>
        <w:spacing w:line="240" w:lineRule="auto"/>
      </w:pPr>
      <w:r>
        <w:separator/>
      </w:r>
    </w:p>
  </w:endnote>
  <w:endnote w:type="continuationSeparator" w:id="0">
    <w:p w14:paraId="26DF0665" w14:textId="77777777" w:rsidR="003500D1" w:rsidRDefault="003500D1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722F" w14:textId="77777777" w:rsidR="008A6BE3" w:rsidRDefault="008A6BE3" w:rsidP="0044059B">
    <w:pPr>
      <w:pStyle w:val="aa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114E" w14:textId="77777777" w:rsidR="008D61D2" w:rsidRDefault="008D61D2" w:rsidP="00E1427E">
    <w:pPr>
      <w:pStyle w:val="aa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E2EC" w14:textId="77777777" w:rsidR="003500D1" w:rsidRDefault="003500D1" w:rsidP="00DF305D">
      <w:pPr>
        <w:spacing w:line="240" w:lineRule="auto"/>
      </w:pPr>
      <w:r>
        <w:separator/>
      </w:r>
    </w:p>
  </w:footnote>
  <w:footnote w:type="continuationSeparator" w:id="0">
    <w:p w14:paraId="2947C581" w14:textId="77777777" w:rsidR="003500D1" w:rsidRDefault="003500D1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C8F"/>
    <w:rsid w:val="00030DDC"/>
    <w:rsid w:val="000320B9"/>
    <w:rsid w:val="00034DAB"/>
    <w:rsid w:val="000510FE"/>
    <w:rsid w:val="0005449D"/>
    <w:rsid w:val="00064DB0"/>
    <w:rsid w:val="000715C9"/>
    <w:rsid w:val="0008074C"/>
    <w:rsid w:val="00085BCB"/>
    <w:rsid w:val="000A6C72"/>
    <w:rsid w:val="000A7A31"/>
    <w:rsid w:val="000B2BE7"/>
    <w:rsid w:val="000D05CD"/>
    <w:rsid w:val="000D3D86"/>
    <w:rsid w:val="000D4798"/>
    <w:rsid w:val="000E2131"/>
    <w:rsid w:val="000F73B8"/>
    <w:rsid w:val="00102B38"/>
    <w:rsid w:val="0011085A"/>
    <w:rsid w:val="00123A78"/>
    <w:rsid w:val="001279C5"/>
    <w:rsid w:val="00127D3C"/>
    <w:rsid w:val="00140BA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0B3F"/>
    <w:rsid w:val="00194F18"/>
    <w:rsid w:val="001A12A1"/>
    <w:rsid w:val="001A23D0"/>
    <w:rsid w:val="001A6FFC"/>
    <w:rsid w:val="001B2296"/>
    <w:rsid w:val="001B285E"/>
    <w:rsid w:val="001B4AF1"/>
    <w:rsid w:val="001B6E3E"/>
    <w:rsid w:val="001C1641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B5690"/>
    <w:rsid w:val="002C2DD2"/>
    <w:rsid w:val="002C6B2E"/>
    <w:rsid w:val="002D5F23"/>
    <w:rsid w:val="002F675D"/>
    <w:rsid w:val="003031D1"/>
    <w:rsid w:val="003500D1"/>
    <w:rsid w:val="0035019E"/>
    <w:rsid w:val="0035106A"/>
    <w:rsid w:val="003749F2"/>
    <w:rsid w:val="00381557"/>
    <w:rsid w:val="003841AF"/>
    <w:rsid w:val="003A0C5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4059B"/>
    <w:rsid w:val="00447976"/>
    <w:rsid w:val="00451A75"/>
    <w:rsid w:val="00466B34"/>
    <w:rsid w:val="00470521"/>
    <w:rsid w:val="00473AC5"/>
    <w:rsid w:val="00492D9D"/>
    <w:rsid w:val="004A0AF5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52FA"/>
    <w:rsid w:val="005B0662"/>
    <w:rsid w:val="005C12B9"/>
    <w:rsid w:val="005C23D5"/>
    <w:rsid w:val="00600D88"/>
    <w:rsid w:val="00621BBE"/>
    <w:rsid w:val="006303CF"/>
    <w:rsid w:val="006365EF"/>
    <w:rsid w:val="006369B2"/>
    <w:rsid w:val="00641FE4"/>
    <w:rsid w:val="00646236"/>
    <w:rsid w:val="006525CE"/>
    <w:rsid w:val="00652BB3"/>
    <w:rsid w:val="006610C2"/>
    <w:rsid w:val="00681B60"/>
    <w:rsid w:val="00684C9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4271F"/>
    <w:rsid w:val="00753346"/>
    <w:rsid w:val="00766F39"/>
    <w:rsid w:val="0079147B"/>
    <w:rsid w:val="00797E73"/>
    <w:rsid w:val="007A02FF"/>
    <w:rsid w:val="007A32FA"/>
    <w:rsid w:val="007B0211"/>
    <w:rsid w:val="007B0501"/>
    <w:rsid w:val="007B4445"/>
    <w:rsid w:val="007E4A32"/>
    <w:rsid w:val="007F025E"/>
    <w:rsid w:val="00834792"/>
    <w:rsid w:val="00841B80"/>
    <w:rsid w:val="008444D4"/>
    <w:rsid w:val="008448E2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F021E"/>
    <w:rsid w:val="008F36DF"/>
    <w:rsid w:val="00902BBE"/>
    <w:rsid w:val="0090600E"/>
    <w:rsid w:val="0090675C"/>
    <w:rsid w:val="00910641"/>
    <w:rsid w:val="00911A66"/>
    <w:rsid w:val="00913FC2"/>
    <w:rsid w:val="00927F6F"/>
    <w:rsid w:val="00930567"/>
    <w:rsid w:val="00941559"/>
    <w:rsid w:val="0095388D"/>
    <w:rsid w:val="00986817"/>
    <w:rsid w:val="0099020A"/>
    <w:rsid w:val="00994CE7"/>
    <w:rsid w:val="009A236A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B0A70"/>
    <w:rsid w:val="00AE5555"/>
    <w:rsid w:val="00B01E98"/>
    <w:rsid w:val="00B06960"/>
    <w:rsid w:val="00B115D7"/>
    <w:rsid w:val="00B1411A"/>
    <w:rsid w:val="00B14479"/>
    <w:rsid w:val="00B14AB8"/>
    <w:rsid w:val="00B16DF8"/>
    <w:rsid w:val="00B21D4A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283F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14C0"/>
    <w:rsid w:val="00C55880"/>
    <w:rsid w:val="00C56BB8"/>
    <w:rsid w:val="00C66DE9"/>
    <w:rsid w:val="00C67CDE"/>
    <w:rsid w:val="00C709BF"/>
    <w:rsid w:val="00C72CE1"/>
    <w:rsid w:val="00CA2D96"/>
    <w:rsid w:val="00CA75B1"/>
    <w:rsid w:val="00CA7FE8"/>
    <w:rsid w:val="00CB312B"/>
    <w:rsid w:val="00CC3E40"/>
    <w:rsid w:val="00CC4453"/>
    <w:rsid w:val="00CD1A1E"/>
    <w:rsid w:val="00CD3B92"/>
    <w:rsid w:val="00CE0251"/>
    <w:rsid w:val="00CF6518"/>
    <w:rsid w:val="00D01848"/>
    <w:rsid w:val="00D02994"/>
    <w:rsid w:val="00D16D31"/>
    <w:rsid w:val="00D222F5"/>
    <w:rsid w:val="00D30AC6"/>
    <w:rsid w:val="00D35B50"/>
    <w:rsid w:val="00D46D66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427E"/>
    <w:rsid w:val="00E1737F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615DE"/>
    <w:rsid w:val="00F703EA"/>
    <w:rsid w:val="00F71743"/>
    <w:rsid w:val="00F72DE0"/>
    <w:rsid w:val="00F852A1"/>
    <w:rsid w:val="00F91286"/>
    <w:rsid w:val="00F93E1A"/>
    <w:rsid w:val="00FA585C"/>
    <w:rsid w:val="00FB3C1D"/>
    <w:rsid w:val="00FB7917"/>
    <w:rsid w:val="00FD18ED"/>
    <w:rsid w:val="00FD1EF8"/>
    <w:rsid w:val="00FD3596"/>
    <w:rsid w:val="00FD4A89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09517"/>
  <w15:docId w15:val="{6466D45B-F22C-465D-BB70-AF232967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Ольга</cp:lastModifiedBy>
  <cp:revision>4</cp:revision>
  <cp:lastPrinted>2023-09-18T13:42:00Z</cp:lastPrinted>
  <dcterms:created xsi:type="dcterms:W3CDTF">2026-05-09T13:23:00Z</dcterms:created>
  <dcterms:modified xsi:type="dcterms:W3CDTF">2026-05-10T09:18:00Z</dcterms:modified>
</cp:coreProperties>
</file>