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D3596" w:rsidRPr="00B079A1" w14:paraId="6EED8A04" w14:textId="77777777" w:rsidTr="00123A78">
        <w:tc>
          <w:tcPr>
            <w:tcW w:w="97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6D10CE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646236">
              <w:rPr>
                <w:rFonts w:eastAsia="Calibri"/>
                <w:caps/>
                <w:sz w:val="31"/>
                <w:szCs w:val="31"/>
              </w:rPr>
              <w:t>Федеральное агентство</w:t>
            </w:r>
          </w:p>
          <w:p w14:paraId="4D2A683B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B079A1">
              <w:rPr>
                <w:rFonts w:eastAsia="Calibri"/>
                <w:caps/>
                <w:sz w:val="31"/>
                <w:szCs w:val="31"/>
              </w:rPr>
              <w:t>по техническому регулированию и метрологии</w:t>
            </w:r>
          </w:p>
        </w:tc>
      </w:tr>
      <w:tr w:rsidR="00FD3596" w:rsidRPr="00B079A1" w14:paraId="60865555" w14:textId="77777777" w:rsidTr="00123A78">
        <w:tc>
          <w:tcPr>
            <w:tcW w:w="974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9D4B73D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before="240" w:line="240" w:lineRule="auto"/>
              <w:jc w:val="center"/>
              <w:rPr>
                <w:rFonts w:eastAsia="Calibri"/>
                <w:b/>
                <w:spacing w:val="20"/>
                <w:sz w:val="30"/>
                <w:szCs w:val="30"/>
              </w:rPr>
            </w:pPr>
            <w:r w:rsidRPr="00B079A1">
              <w:rPr>
                <w:rFonts w:eastAsia="Calibri"/>
                <w:b/>
                <w:spacing w:val="20"/>
                <w:sz w:val="32"/>
                <w:szCs w:val="32"/>
              </w:rPr>
              <w:t>ТК 482 «Поддержка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 xml:space="preserve"> </w:t>
            </w:r>
            <w:r w:rsidRPr="00F64FD5">
              <w:rPr>
                <w:rFonts w:eastAsia="Calibri"/>
                <w:b/>
                <w:spacing w:val="20"/>
                <w:sz w:val="32"/>
                <w:szCs w:val="32"/>
              </w:rPr>
              <w:t>жизненного цикла продукции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>»</w:t>
            </w:r>
          </w:p>
        </w:tc>
      </w:tr>
      <w:tr w:rsidR="00FD3596" w:rsidRPr="00B079A1" w14:paraId="55BBA40E" w14:textId="77777777" w:rsidTr="00123A78">
        <w:trPr>
          <w:trHeight w:val="573"/>
        </w:trPr>
        <w:tc>
          <w:tcPr>
            <w:tcW w:w="9747" w:type="dxa"/>
            <w:tcBorders>
              <w:top w:val="nil"/>
            </w:tcBorders>
            <w:shd w:val="clear" w:color="auto" w:fill="auto"/>
            <w:vAlign w:val="center"/>
          </w:tcPr>
          <w:p w14:paraId="1C84843C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22D1A9EC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117418, Москва, Нахимовский проспект, д. 31, корп. 2</w:t>
            </w:r>
          </w:p>
          <w:p w14:paraId="60707815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after="24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Тел: +7 (495) 531-26-44</w:t>
            </w:r>
          </w:p>
        </w:tc>
      </w:tr>
    </w:tbl>
    <w:p w14:paraId="1A91928B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5DAF8FB9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33299302" w14:textId="77777777" w:rsidR="00194F18" w:rsidRPr="008F36DF" w:rsidRDefault="00194F18" w:rsidP="00034DA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ЭКСПЕРТНОЕ ЗАКЛЮЧЕНИЕ</w:t>
      </w:r>
    </w:p>
    <w:p w14:paraId="5CF995A8" w14:textId="77777777" w:rsidR="00261444" w:rsidRDefault="00FF4361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на проект национального стандарта ГОСТ Р</w:t>
      </w:r>
    </w:p>
    <w:p w14:paraId="6DEF3761" w14:textId="77777777" w:rsidR="004F57C2" w:rsidRPr="004F57C2" w:rsidRDefault="00034DAB" w:rsidP="004F57C2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0B07B3">
        <w:rPr>
          <w:b/>
          <w:sz w:val="28"/>
          <w:szCs w:val="28"/>
        </w:rPr>
        <w:t>«</w:t>
      </w:r>
      <w:r w:rsidR="004F57C2" w:rsidRPr="004F57C2">
        <w:rPr>
          <w:b/>
          <w:sz w:val="28"/>
          <w:szCs w:val="28"/>
        </w:rPr>
        <w:t>Система поддержки жизненного цикла издели</w:t>
      </w:r>
      <w:r w:rsidR="00F75CFF">
        <w:rPr>
          <w:b/>
          <w:sz w:val="28"/>
          <w:szCs w:val="28"/>
        </w:rPr>
        <w:t>я</w:t>
      </w:r>
      <w:r w:rsidR="004F57C2" w:rsidRPr="004F57C2">
        <w:rPr>
          <w:b/>
          <w:sz w:val="28"/>
          <w:szCs w:val="28"/>
        </w:rPr>
        <w:t xml:space="preserve">. </w:t>
      </w:r>
    </w:p>
    <w:p w14:paraId="0D2C6CEB" w14:textId="77777777" w:rsidR="00034DAB" w:rsidRPr="000B07B3" w:rsidRDefault="004F57C2" w:rsidP="004F57C2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4F57C2">
        <w:rPr>
          <w:b/>
          <w:sz w:val="28"/>
          <w:szCs w:val="28"/>
        </w:rPr>
        <w:t>Термины и определения</w:t>
      </w:r>
      <w:r w:rsidR="00034DAB" w:rsidRPr="000B07B3">
        <w:rPr>
          <w:b/>
          <w:sz w:val="28"/>
          <w:szCs w:val="28"/>
        </w:rPr>
        <w:t>»</w:t>
      </w:r>
      <w:r w:rsidR="00034DAB" w:rsidRPr="000B07B3">
        <w:rPr>
          <w:b/>
          <w:sz w:val="28"/>
          <w:szCs w:val="28"/>
          <w:highlight w:val="yellow"/>
        </w:rPr>
        <w:t xml:space="preserve"> </w:t>
      </w:r>
    </w:p>
    <w:p w14:paraId="7C5B1D67" w14:textId="77777777" w:rsidR="00EE58D6" w:rsidRDefault="00EE58D6" w:rsidP="00261444">
      <w:pPr>
        <w:tabs>
          <w:tab w:val="left" w:pos="360"/>
        </w:tabs>
        <w:spacing w:after="120"/>
        <w:ind w:right="-340" w:firstLine="0"/>
        <w:jc w:val="center"/>
        <w:rPr>
          <w:b/>
          <w:sz w:val="28"/>
          <w:szCs w:val="28"/>
        </w:rPr>
      </w:pPr>
    </w:p>
    <w:p w14:paraId="4E83F4CC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  <w:r w:rsidRPr="00541DAB">
        <w:rPr>
          <w:sz w:val="28"/>
          <w:szCs w:val="28"/>
        </w:rPr>
        <w:t xml:space="preserve">г. Москва                                                          </w:t>
      </w:r>
      <w:r w:rsidR="008F36DF" w:rsidRPr="00541DAB">
        <w:rPr>
          <w:sz w:val="28"/>
          <w:szCs w:val="28"/>
        </w:rPr>
        <w:t xml:space="preserve">                 </w:t>
      </w:r>
      <w:r w:rsidR="00085BCB">
        <w:rPr>
          <w:sz w:val="28"/>
          <w:szCs w:val="28"/>
        </w:rPr>
        <w:t xml:space="preserve">                </w:t>
      </w:r>
      <w:r w:rsidR="008F36DF" w:rsidRPr="00541DAB">
        <w:rPr>
          <w:sz w:val="28"/>
          <w:szCs w:val="28"/>
        </w:rPr>
        <w:t xml:space="preserve">      </w:t>
      </w:r>
      <w:r w:rsidR="00DA1E5B" w:rsidRPr="00541DAB">
        <w:rPr>
          <w:sz w:val="28"/>
          <w:szCs w:val="28"/>
        </w:rPr>
        <w:t xml:space="preserve"> </w:t>
      </w:r>
      <w:r w:rsidR="00286639" w:rsidRPr="00541DAB">
        <w:rPr>
          <w:sz w:val="28"/>
          <w:szCs w:val="28"/>
        </w:rPr>
        <w:t xml:space="preserve"> </w:t>
      </w:r>
      <w:r w:rsidRPr="00541DAB">
        <w:rPr>
          <w:sz w:val="28"/>
          <w:szCs w:val="28"/>
        </w:rPr>
        <w:t xml:space="preserve"> </w:t>
      </w:r>
      <w:r w:rsidR="00085BCB">
        <w:rPr>
          <w:sz w:val="28"/>
          <w:szCs w:val="28"/>
        </w:rPr>
        <w:t>(проект)</w:t>
      </w:r>
    </w:p>
    <w:p w14:paraId="37532408" w14:textId="77777777" w:rsidR="00194F18" w:rsidRPr="008F36DF" w:rsidRDefault="00194F18" w:rsidP="00932222">
      <w:pPr>
        <w:spacing w:line="240" w:lineRule="auto"/>
        <w:ind w:firstLine="0"/>
        <w:rPr>
          <w:sz w:val="28"/>
          <w:szCs w:val="28"/>
        </w:rPr>
      </w:pPr>
    </w:p>
    <w:p w14:paraId="0B9A0C4B" w14:textId="77777777" w:rsidR="00085BCB" w:rsidRDefault="00FF4361" w:rsidP="004F57C2">
      <w:pPr>
        <w:spacing w:line="360" w:lineRule="auto"/>
        <w:ind w:firstLine="708"/>
        <w:rPr>
          <w:rFonts w:eastAsia="Calibri"/>
          <w:sz w:val="28"/>
          <w:szCs w:val="28"/>
        </w:rPr>
      </w:pPr>
      <w:r w:rsidRPr="00BA1E82">
        <w:rPr>
          <w:color w:val="000000"/>
          <w:spacing w:val="-1"/>
          <w:sz w:val="28"/>
          <w:szCs w:val="28"/>
        </w:rPr>
        <w:t xml:space="preserve">Проект национального стандарта </w:t>
      </w:r>
      <w:r w:rsidRPr="008F36DF">
        <w:rPr>
          <w:sz w:val="28"/>
          <w:szCs w:val="28"/>
        </w:rPr>
        <w:t xml:space="preserve">ГОСТ Р </w:t>
      </w:r>
      <w:r w:rsidR="00034DAB" w:rsidRPr="00034DAB">
        <w:rPr>
          <w:sz w:val="28"/>
          <w:szCs w:val="28"/>
        </w:rPr>
        <w:t>«</w:t>
      </w:r>
      <w:r w:rsidR="004F57C2" w:rsidRPr="004F57C2">
        <w:rPr>
          <w:sz w:val="28"/>
          <w:szCs w:val="28"/>
        </w:rPr>
        <w:t>Система поддержки жизненного цикла издели</w:t>
      </w:r>
      <w:r w:rsidR="00F75CFF">
        <w:rPr>
          <w:sz w:val="28"/>
          <w:szCs w:val="28"/>
        </w:rPr>
        <w:t>я</w:t>
      </w:r>
      <w:r w:rsidR="004F57C2" w:rsidRPr="004F57C2">
        <w:rPr>
          <w:sz w:val="28"/>
          <w:szCs w:val="28"/>
        </w:rPr>
        <w:t>. Термины и определения</w:t>
      </w:r>
      <w:r w:rsidR="00034DAB" w:rsidRPr="00034DAB">
        <w:rPr>
          <w:sz w:val="28"/>
          <w:szCs w:val="28"/>
        </w:rPr>
        <w:t xml:space="preserve">» </w:t>
      </w:r>
      <w:r w:rsidRPr="00A30330">
        <w:rPr>
          <w:sz w:val="28"/>
          <w:szCs w:val="28"/>
        </w:rPr>
        <w:t>(далее – проект стандарта)</w:t>
      </w:r>
      <w:r w:rsidRPr="00A30330">
        <w:rPr>
          <w:spacing w:val="-1"/>
          <w:sz w:val="28"/>
          <w:szCs w:val="28"/>
        </w:rPr>
        <w:t xml:space="preserve"> </w:t>
      </w:r>
      <w:r w:rsidRPr="00A30330">
        <w:rPr>
          <w:sz w:val="28"/>
          <w:szCs w:val="28"/>
        </w:rPr>
        <w:t xml:space="preserve">разработан Акционерным обществом «Научно-исследовательский центр «Прикладная </w:t>
      </w:r>
      <w:r w:rsidR="00085BCB">
        <w:rPr>
          <w:sz w:val="28"/>
          <w:szCs w:val="28"/>
        </w:rPr>
        <w:t>л</w:t>
      </w:r>
      <w:r w:rsidRPr="00A30330">
        <w:rPr>
          <w:sz w:val="28"/>
          <w:szCs w:val="28"/>
        </w:rPr>
        <w:t xml:space="preserve">огистика» (АО НИЦ «Прикладная </w:t>
      </w:r>
      <w:r w:rsidR="00085BCB">
        <w:rPr>
          <w:sz w:val="28"/>
          <w:szCs w:val="28"/>
        </w:rPr>
        <w:t>л</w:t>
      </w:r>
      <w:r w:rsidRPr="00A30330">
        <w:rPr>
          <w:sz w:val="28"/>
          <w:szCs w:val="28"/>
        </w:rPr>
        <w:t>огистика»)</w:t>
      </w:r>
      <w:r w:rsidR="00910641" w:rsidRPr="00A30330">
        <w:rPr>
          <w:sz w:val="28"/>
          <w:szCs w:val="28"/>
        </w:rPr>
        <w:t xml:space="preserve"> </w:t>
      </w:r>
      <w:r w:rsidRPr="00A30330">
        <w:rPr>
          <w:sz w:val="28"/>
          <w:szCs w:val="28"/>
        </w:rPr>
        <w:t>в рамках деятельности ТК 482 «</w:t>
      </w:r>
      <w:r w:rsidRPr="00A30330">
        <w:rPr>
          <w:rFonts w:eastAsia="Calibri"/>
          <w:sz w:val="28"/>
          <w:szCs w:val="28"/>
        </w:rPr>
        <w:t>Поддержка жизненного цикла продукции</w:t>
      </w:r>
      <w:r w:rsidR="00034DAB">
        <w:rPr>
          <w:rFonts w:eastAsia="Calibri"/>
          <w:sz w:val="28"/>
          <w:szCs w:val="28"/>
        </w:rPr>
        <w:t>»</w:t>
      </w:r>
      <w:r w:rsidR="00034DAB" w:rsidRPr="00034DAB">
        <w:rPr>
          <w:rFonts w:eastAsia="Calibri"/>
          <w:sz w:val="28"/>
          <w:szCs w:val="28"/>
        </w:rPr>
        <w:t xml:space="preserve"> на основании </w:t>
      </w:r>
      <w:bookmarkStart w:id="0" w:name="_Hlk224721032"/>
      <w:r w:rsidR="004F57C2" w:rsidRPr="00190B3F">
        <w:rPr>
          <w:rFonts w:eastAsia="Calibri"/>
          <w:sz w:val="28"/>
          <w:szCs w:val="28"/>
        </w:rPr>
        <w:t>Перспективн</w:t>
      </w:r>
      <w:r w:rsidR="004F57C2">
        <w:rPr>
          <w:rFonts w:eastAsia="Calibri"/>
          <w:sz w:val="28"/>
          <w:szCs w:val="28"/>
        </w:rPr>
        <w:t>ой</w:t>
      </w:r>
      <w:r w:rsidR="004F57C2" w:rsidRPr="00190B3F">
        <w:rPr>
          <w:rFonts w:eastAsia="Calibri"/>
          <w:sz w:val="28"/>
          <w:szCs w:val="28"/>
        </w:rPr>
        <w:t xml:space="preserve"> программ</w:t>
      </w:r>
      <w:r w:rsidR="004F57C2">
        <w:rPr>
          <w:rFonts w:eastAsia="Calibri"/>
          <w:sz w:val="28"/>
          <w:szCs w:val="28"/>
        </w:rPr>
        <w:t>ы</w:t>
      </w:r>
      <w:r w:rsidR="004F57C2" w:rsidRPr="00190B3F">
        <w:rPr>
          <w:rFonts w:eastAsia="Calibri"/>
          <w:sz w:val="28"/>
          <w:szCs w:val="28"/>
        </w:rPr>
        <w:t xml:space="preserve"> стандартизации в области поддержки жизненного цикла изделий на 2024-2026 гг. (поручение председателя Правительства РФ ММ-П10-17296 от 29.11.2023)</w:t>
      </w:r>
      <w:r w:rsidR="004B734D">
        <w:rPr>
          <w:rFonts w:eastAsia="Calibri"/>
          <w:sz w:val="28"/>
          <w:szCs w:val="28"/>
        </w:rPr>
        <w:t>,</w:t>
      </w:r>
      <w:r w:rsidR="004F57C2" w:rsidRPr="00190B3F">
        <w:rPr>
          <w:rFonts w:eastAsia="Calibri"/>
          <w:sz w:val="28"/>
          <w:szCs w:val="28"/>
        </w:rPr>
        <w:t xml:space="preserve"> Программ</w:t>
      </w:r>
      <w:r w:rsidR="004F57C2">
        <w:rPr>
          <w:rFonts w:eastAsia="Calibri"/>
          <w:sz w:val="28"/>
          <w:szCs w:val="28"/>
        </w:rPr>
        <w:t>ы</w:t>
      </w:r>
      <w:r w:rsidR="004F57C2" w:rsidRPr="00190B3F">
        <w:rPr>
          <w:rFonts w:eastAsia="Calibri"/>
          <w:sz w:val="28"/>
          <w:szCs w:val="28"/>
        </w:rPr>
        <w:t xml:space="preserve"> национальной стандартизации на 2025 г</w:t>
      </w:r>
      <w:r w:rsidR="00F75CFF">
        <w:rPr>
          <w:rFonts w:eastAsia="Calibri"/>
          <w:sz w:val="28"/>
          <w:szCs w:val="28"/>
        </w:rPr>
        <w:t>.</w:t>
      </w:r>
      <w:r w:rsidR="004F57C2" w:rsidRPr="00034DAB">
        <w:rPr>
          <w:rFonts w:eastAsia="Calibri"/>
          <w:sz w:val="28"/>
          <w:szCs w:val="28"/>
        </w:rPr>
        <w:t xml:space="preserve"> (шифр темы </w:t>
      </w:r>
      <w:r w:rsidR="004F57C2" w:rsidRPr="00190B3F">
        <w:rPr>
          <w:rFonts w:eastAsia="Calibri"/>
          <w:sz w:val="28"/>
          <w:szCs w:val="28"/>
        </w:rPr>
        <w:t>1.0.482-1.09</w:t>
      </w:r>
      <w:r w:rsidR="004F57C2">
        <w:rPr>
          <w:rFonts w:eastAsia="Calibri"/>
          <w:sz w:val="28"/>
          <w:szCs w:val="28"/>
        </w:rPr>
        <w:t>6</w:t>
      </w:r>
      <w:r w:rsidR="004F57C2" w:rsidRPr="00190B3F">
        <w:rPr>
          <w:rFonts w:eastAsia="Calibri"/>
          <w:sz w:val="28"/>
          <w:szCs w:val="28"/>
        </w:rPr>
        <w:t>.25</w:t>
      </w:r>
      <w:r w:rsidR="004F57C2" w:rsidRPr="00034DAB">
        <w:rPr>
          <w:rFonts w:eastAsia="Calibri"/>
          <w:sz w:val="28"/>
          <w:szCs w:val="28"/>
        </w:rPr>
        <w:t xml:space="preserve">) </w:t>
      </w:r>
      <w:r w:rsidR="004F57C2" w:rsidRPr="00097096">
        <w:rPr>
          <w:sz w:val="28"/>
          <w:szCs w:val="28"/>
        </w:rPr>
        <w:t xml:space="preserve">и </w:t>
      </w:r>
      <w:r w:rsidR="00F75CFF">
        <w:rPr>
          <w:sz w:val="28"/>
          <w:szCs w:val="28"/>
        </w:rPr>
        <w:t xml:space="preserve">государственного контракта </w:t>
      </w:r>
      <w:r w:rsidR="00F75CFF" w:rsidRPr="00B14AB8">
        <w:rPr>
          <w:sz w:val="28"/>
          <w:szCs w:val="28"/>
        </w:rPr>
        <w:t>№</w:t>
      </w:r>
      <w:r w:rsidR="004B734D">
        <w:rPr>
          <w:sz w:val="28"/>
          <w:szCs w:val="28"/>
        </w:rPr>
        <w:t xml:space="preserve"> </w:t>
      </w:r>
      <w:r w:rsidR="00F75CFF" w:rsidRPr="00B14AB8">
        <w:rPr>
          <w:sz w:val="28"/>
          <w:szCs w:val="28"/>
        </w:rPr>
        <w:t>130-23/2025</w:t>
      </w:r>
      <w:r w:rsidR="00F75CFF">
        <w:rPr>
          <w:sz w:val="28"/>
          <w:szCs w:val="28"/>
        </w:rPr>
        <w:t xml:space="preserve"> от 01 апреля 2025 г. </w:t>
      </w:r>
      <w:r w:rsidR="00F75CFF" w:rsidRPr="00B14AB8">
        <w:rPr>
          <w:sz w:val="28"/>
          <w:szCs w:val="28"/>
        </w:rPr>
        <w:t>(идентификационный код закупки: 251770640629177030100100440017112244)</w:t>
      </w:r>
      <w:r w:rsidR="00085BCB" w:rsidRPr="00097096">
        <w:rPr>
          <w:sz w:val="28"/>
          <w:szCs w:val="28"/>
        </w:rPr>
        <w:t>.</w:t>
      </w:r>
      <w:bookmarkEnd w:id="0"/>
    </w:p>
    <w:p w14:paraId="2FD6545E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Экспертиза проекта стандарта проведена в соответствии с ГОСТ Р</w:t>
      </w:r>
      <w:r w:rsidR="00927F6F">
        <w:rPr>
          <w:sz w:val="28"/>
          <w:szCs w:val="28"/>
        </w:rPr>
        <w:t xml:space="preserve"> 1.6‒2013 «Стандартизация в Российской Ф</w:t>
      </w:r>
      <w:r w:rsidRPr="008F36DF">
        <w:rPr>
          <w:sz w:val="28"/>
          <w:szCs w:val="28"/>
        </w:rPr>
        <w:t>едерации. Проекты стандартов. Правила организации и проведения экспертизы».</w:t>
      </w:r>
    </w:p>
    <w:p w14:paraId="4C6F59B0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В отношении проекта стандарта выполнена экспертиза, включая:</w:t>
      </w:r>
    </w:p>
    <w:p w14:paraId="66D08FF9" w14:textId="77777777" w:rsidR="00286639" w:rsidRPr="008F36DF" w:rsidRDefault="00194F18" w:rsidP="00932222">
      <w:pPr>
        <w:pStyle w:val="a3"/>
        <w:widowControl w:val="0"/>
        <w:numPr>
          <w:ilvl w:val="0"/>
          <w:numId w:val="19"/>
        </w:numPr>
        <w:spacing w:line="360" w:lineRule="auto"/>
        <w:ind w:left="714" w:hanging="357"/>
        <w:rPr>
          <w:sz w:val="28"/>
          <w:szCs w:val="28"/>
        </w:rPr>
      </w:pPr>
      <w:r w:rsidRPr="008F36DF">
        <w:rPr>
          <w:sz w:val="28"/>
          <w:szCs w:val="28"/>
        </w:rPr>
        <w:t>оценку соответствия проекта стандарта целям и задачам, установленным в статье 3 Федерального закона «О стандартизации в</w:t>
      </w:r>
      <w:r w:rsidR="00FF4361" w:rsidRPr="008F36DF">
        <w:rPr>
          <w:sz w:val="28"/>
          <w:szCs w:val="28"/>
        </w:rPr>
        <w:t xml:space="preserve"> Российской Федерации» от 29 июня </w:t>
      </w:r>
      <w:r w:rsidRPr="008F36DF">
        <w:rPr>
          <w:sz w:val="28"/>
          <w:szCs w:val="28"/>
        </w:rPr>
        <w:t>2015</w:t>
      </w:r>
      <w:r w:rsidR="00FF4361" w:rsidRPr="008F36DF">
        <w:rPr>
          <w:sz w:val="28"/>
          <w:szCs w:val="28"/>
        </w:rPr>
        <w:t xml:space="preserve"> г.</w:t>
      </w:r>
      <w:r w:rsidRPr="008F36DF">
        <w:rPr>
          <w:sz w:val="28"/>
          <w:szCs w:val="28"/>
        </w:rPr>
        <w:t xml:space="preserve"> № 162-ФЗ;</w:t>
      </w:r>
    </w:p>
    <w:p w14:paraId="6A3037E5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lastRenderedPageBreak/>
        <w:t xml:space="preserve">проверку используемой в проекте стандарта терминологии на соответствие требованиям законодательства Российской Федерации; </w:t>
      </w:r>
    </w:p>
    <w:p w14:paraId="56DD305F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проверку соответствия проекта стандарта правилам, установленным в основополагающих национальных стандартах Российской Федерации;</w:t>
      </w:r>
    </w:p>
    <w:p w14:paraId="7E9580BA" w14:textId="77777777" w:rsidR="00194F18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полноты установления в проекте стандарта требований к объекту стандартизации</w:t>
      </w:r>
      <w:r w:rsidR="006552BB">
        <w:rPr>
          <w:sz w:val="28"/>
          <w:szCs w:val="28"/>
        </w:rPr>
        <w:t>, касающихся рассматриваемого в стандарте аспекта.</w:t>
      </w:r>
    </w:p>
    <w:p w14:paraId="48786611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разработан в соответствии с основными положениями Федерального закона от </w:t>
      </w:r>
      <w:r w:rsidR="00FF4361" w:rsidRPr="008F36DF">
        <w:rPr>
          <w:sz w:val="28"/>
          <w:szCs w:val="28"/>
        </w:rPr>
        <w:t xml:space="preserve">29 июня 2015 г. </w:t>
      </w:r>
      <w:r w:rsidRPr="008F36DF">
        <w:rPr>
          <w:sz w:val="28"/>
          <w:szCs w:val="28"/>
        </w:rPr>
        <w:t>№ 162-ФЗ «О стандартизации в Российской Федерации» и основополагающими национальными стандартами Российской Федерации.</w:t>
      </w:r>
    </w:p>
    <w:p w14:paraId="4DF075D0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Проект стандарта не противоречит директивным документам по стандартизации Федерального агентства по техническому регулированию и метрологии (Росстандарта), требованиям технических регламентов, а также национальных стандартов, разработанных для содействия соблюдению требований технических регламентов.</w:t>
      </w:r>
    </w:p>
    <w:p w14:paraId="1CE48C06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не противоречит основным положениям международных договоров (соглашений), участником которых является Российская Федерация. </w:t>
      </w:r>
    </w:p>
    <w:p w14:paraId="06DC8565" w14:textId="77777777" w:rsidR="00085BCB" w:rsidRPr="008F36DF" w:rsidRDefault="00085BCB" w:rsidP="00085BCB">
      <w:pPr>
        <w:spacing w:line="360" w:lineRule="auto"/>
        <w:ind w:firstLine="708"/>
        <w:rPr>
          <w:sz w:val="28"/>
          <w:szCs w:val="28"/>
        </w:rPr>
      </w:pPr>
      <w:r w:rsidRPr="00170135">
        <w:rPr>
          <w:sz w:val="28"/>
          <w:szCs w:val="28"/>
        </w:rPr>
        <w:t>Проект стандарта разработан с учетом национальных стандартов, распространяющихся на данный объект стандартизации.</w:t>
      </w:r>
    </w:p>
    <w:p w14:paraId="54F6248B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Разработанный </w:t>
      </w:r>
      <w:r w:rsidR="00A30330">
        <w:rPr>
          <w:sz w:val="28"/>
          <w:szCs w:val="28"/>
        </w:rPr>
        <w:t xml:space="preserve">проект </w:t>
      </w:r>
      <w:r w:rsidRPr="008F36DF">
        <w:rPr>
          <w:sz w:val="28"/>
          <w:szCs w:val="28"/>
        </w:rPr>
        <w:t>стандарт</w:t>
      </w:r>
      <w:r w:rsidR="00A30330">
        <w:rPr>
          <w:sz w:val="28"/>
          <w:szCs w:val="28"/>
        </w:rPr>
        <w:t>а</w:t>
      </w:r>
      <w:r w:rsidRPr="008F36DF">
        <w:rPr>
          <w:sz w:val="28"/>
          <w:szCs w:val="28"/>
        </w:rPr>
        <w:t xml:space="preserve"> соответствует современному уровню развития науки, техники и технологий, передовому отечественному и зарубежному опыту.</w:t>
      </w:r>
    </w:p>
    <w:p w14:paraId="01E4D2D3" w14:textId="77777777" w:rsidR="00CA67D8" w:rsidRDefault="00085BCB" w:rsidP="00CA67D8">
      <w:pPr>
        <w:widowControl w:val="0"/>
        <w:tabs>
          <w:tab w:val="left" w:pos="993"/>
        </w:tabs>
        <w:spacing w:line="360" w:lineRule="auto"/>
        <w:rPr>
          <w:sz w:val="28"/>
          <w:szCs w:val="28"/>
        </w:rPr>
      </w:pPr>
      <w:r w:rsidRPr="00085BCB">
        <w:rPr>
          <w:sz w:val="28"/>
          <w:szCs w:val="28"/>
        </w:rPr>
        <w:t xml:space="preserve">Проект ГОСТ Р разработан с целью </w:t>
      </w:r>
      <w:r w:rsidR="004B734D">
        <w:rPr>
          <w:sz w:val="28"/>
          <w:szCs w:val="28"/>
        </w:rPr>
        <w:t xml:space="preserve">стандартизации </w:t>
      </w:r>
      <w:r w:rsidR="004F57C2" w:rsidRPr="004F57C2">
        <w:rPr>
          <w:sz w:val="28"/>
          <w:szCs w:val="28"/>
        </w:rPr>
        <w:t>терминологи</w:t>
      </w:r>
      <w:r w:rsidR="004F57C2">
        <w:rPr>
          <w:sz w:val="28"/>
          <w:szCs w:val="28"/>
        </w:rPr>
        <w:t>и</w:t>
      </w:r>
      <w:r w:rsidR="004F57C2" w:rsidRPr="004F57C2">
        <w:rPr>
          <w:sz w:val="28"/>
          <w:szCs w:val="28"/>
        </w:rPr>
        <w:t xml:space="preserve"> в области поддержки ЖЦ изделий</w:t>
      </w:r>
      <w:r w:rsidR="00932222">
        <w:rPr>
          <w:sz w:val="28"/>
          <w:szCs w:val="28"/>
        </w:rPr>
        <w:t xml:space="preserve"> машиностроения</w:t>
      </w:r>
      <w:r w:rsidR="004F57C2" w:rsidRPr="004F57C2">
        <w:rPr>
          <w:sz w:val="28"/>
          <w:szCs w:val="28"/>
        </w:rPr>
        <w:t xml:space="preserve">, в частности, </w:t>
      </w:r>
      <w:r w:rsidR="00CA67D8">
        <w:rPr>
          <w:sz w:val="28"/>
          <w:szCs w:val="28"/>
        </w:rPr>
        <w:t xml:space="preserve">стандартизации </w:t>
      </w:r>
      <w:r w:rsidR="00CA67D8" w:rsidRPr="004F57C2">
        <w:rPr>
          <w:sz w:val="28"/>
          <w:szCs w:val="28"/>
        </w:rPr>
        <w:t>един</w:t>
      </w:r>
      <w:r w:rsidR="00CA67D8">
        <w:rPr>
          <w:sz w:val="28"/>
          <w:szCs w:val="28"/>
        </w:rPr>
        <w:t>ой</w:t>
      </w:r>
      <w:r w:rsidR="00CA67D8" w:rsidRPr="004F57C2">
        <w:rPr>
          <w:sz w:val="28"/>
          <w:szCs w:val="28"/>
        </w:rPr>
        <w:t xml:space="preserve"> систем</w:t>
      </w:r>
      <w:r w:rsidR="00CA67D8">
        <w:rPr>
          <w:sz w:val="28"/>
          <w:szCs w:val="28"/>
        </w:rPr>
        <w:t>ы</w:t>
      </w:r>
      <w:r w:rsidR="00CA67D8" w:rsidRPr="004F57C2">
        <w:rPr>
          <w:sz w:val="28"/>
          <w:szCs w:val="28"/>
        </w:rPr>
        <w:t xml:space="preserve"> понятий</w:t>
      </w:r>
      <w:r w:rsidR="00CA67D8">
        <w:rPr>
          <w:sz w:val="28"/>
          <w:szCs w:val="28"/>
        </w:rPr>
        <w:t>, применяемых</w:t>
      </w:r>
      <w:r w:rsidR="004F57C2" w:rsidRPr="004F57C2">
        <w:rPr>
          <w:sz w:val="28"/>
          <w:szCs w:val="28"/>
        </w:rPr>
        <w:t xml:space="preserve"> в комплексе стандартов «Система поддержки жизненного цикла издели</w:t>
      </w:r>
      <w:r w:rsidR="00CA67D8">
        <w:rPr>
          <w:sz w:val="28"/>
          <w:szCs w:val="28"/>
        </w:rPr>
        <w:t>я</w:t>
      </w:r>
      <w:r w:rsidR="004F57C2" w:rsidRPr="004F57C2">
        <w:rPr>
          <w:sz w:val="28"/>
          <w:szCs w:val="28"/>
        </w:rPr>
        <w:t>»</w:t>
      </w:r>
      <w:r w:rsidRPr="00085B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2789276" w14:textId="77777777" w:rsidR="00CA67D8" w:rsidRPr="00CA67D8" w:rsidRDefault="00CA67D8" w:rsidP="00CA67D8">
      <w:pPr>
        <w:widowControl w:val="0"/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Проект стандарта </w:t>
      </w:r>
      <w:r w:rsidR="00085BCB" w:rsidRPr="00CA67D8">
        <w:rPr>
          <w:sz w:val="28"/>
          <w:szCs w:val="28"/>
        </w:rPr>
        <w:t>разработан с учетом</w:t>
      </w:r>
      <w:r w:rsidR="004F57C2" w:rsidRPr="00CA67D8">
        <w:rPr>
          <w:sz w:val="28"/>
          <w:szCs w:val="28"/>
        </w:rPr>
        <w:t xml:space="preserve"> </w:t>
      </w:r>
      <w:r w:rsidRPr="00CA67D8">
        <w:rPr>
          <w:sz w:val="28"/>
          <w:szCs w:val="28"/>
        </w:rPr>
        <w:t>применимых в национальной стандартизации положений международных стандартов:</w:t>
      </w:r>
    </w:p>
    <w:p w14:paraId="2697A059" w14:textId="48DFA43D" w:rsidR="00CA67D8" w:rsidRPr="00BD6664" w:rsidRDefault="00CA67D8" w:rsidP="00CA67D8">
      <w:pPr>
        <w:widowControl w:val="0"/>
        <w:tabs>
          <w:tab w:val="left" w:pos="993"/>
        </w:tabs>
        <w:spacing w:line="360" w:lineRule="auto"/>
        <w:rPr>
          <w:sz w:val="28"/>
          <w:szCs w:val="28"/>
          <w:lang w:val="en-US"/>
        </w:rPr>
      </w:pPr>
      <w:r w:rsidRPr="00BD6664">
        <w:rPr>
          <w:sz w:val="28"/>
          <w:szCs w:val="28"/>
          <w:lang w:val="en-US"/>
        </w:rPr>
        <w:t xml:space="preserve">- ISO/IEC/IEEE 15288:2023 Systems and software engineering — System </w:t>
      </w:r>
      <w:r w:rsidRPr="00BD6664">
        <w:rPr>
          <w:sz w:val="28"/>
          <w:szCs w:val="28"/>
          <w:lang w:val="en-US"/>
        </w:rPr>
        <w:lastRenderedPageBreak/>
        <w:t>life cycle processes</w:t>
      </w:r>
      <w:r w:rsidR="00BD6664">
        <w:rPr>
          <w:sz w:val="28"/>
          <w:szCs w:val="28"/>
          <w:lang w:val="en-US"/>
        </w:rPr>
        <w:t xml:space="preserve"> (</w:t>
      </w:r>
      <w:r w:rsidR="00BD6664" w:rsidRPr="00BD6664">
        <w:rPr>
          <w:sz w:val="28"/>
          <w:szCs w:val="28"/>
        </w:rPr>
        <w:t>ГОСТ</w:t>
      </w:r>
      <w:r w:rsidR="00BD6664" w:rsidRPr="00C20BC1">
        <w:rPr>
          <w:sz w:val="28"/>
          <w:szCs w:val="28"/>
          <w:lang w:val="en-US"/>
        </w:rPr>
        <w:t xml:space="preserve"> </w:t>
      </w:r>
      <w:r w:rsidR="00BD6664" w:rsidRPr="00BD6664">
        <w:rPr>
          <w:sz w:val="28"/>
          <w:szCs w:val="28"/>
        </w:rPr>
        <w:t>Р</w:t>
      </w:r>
      <w:r w:rsidR="00BD6664" w:rsidRPr="00C20BC1">
        <w:rPr>
          <w:sz w:val="28"/>
          <w:szCs w:val="28"/>
          <w:lang w:val="en-US"/>
        </w:rPr>
        <w:t xml:space="preserve"> 57193-2023</w:t>
      </w:r>
      <w:r w:rsidR="00BD6664">
        <w:rPr>
          <w:sz w:val="28"/>
          <w:szCs w:val="28"/>
          <w:lang w:val="en-US"/>
        </w:rPr>
        <w:t>)</w:t>
      </w:r>
      <w:r w:rsidRPr="00BD6664">
        <w:rPr>
          <w:sz w:val="28"/>
          <w:szCs w:val="28"/>
          <w:lang w:val="en-US"/>
        </w:rPr>
        <w:t>;</w:t>
      </w:r>
    </w:p>
    <w:p w14:paraId="21EF3AE5" w14:textId="77777777" w:rsidR="00CA67D8" w:rsidRPr="00356F06" w:rsidRDefault="00CA67D8" w:rsidP="00CA67D8">
      <w:pPr>
        <w:widowControl w:val="0"/>
        <w:tabs>
          <w:tab w:val="left" w:pos="993"/>
        </w:tabs>
        <w:spacing w:line="360" w:lineRule="auto"/>
        <w:rPr>
          <w:sz w:val="28"/>
          <w:szCs w:val="28"/>
          <w:lang w:val="en-US"/>
        </w:rPr>
      </w:pPr>
      <w:r w:rsidRPr="00356F06">
        <w:rPr>
          <w:sz w:val="28"/>
          <w:szCs w:val="28"/>
          <w:lang w:val="en-US"/>
        </w:rPr>
        <w:t xml:space="preserve">- ISO/IEC/IEEE 24748-1:2024 Systems and software engineering — Life cycle management — Part 1: Guidelines for life cycle management, – </w:t>
      </w:r>
      <w:r w:rsidRPr="00CA67D8">
        <w:rPr>
          <w:sz w:val="28"/>
          <w:szCs w:val="28"/>
        </w:rPr>
        <w:t>с</w:t>
      </w:r>
      <w:r w:rsidRPr="00356F06">
        <w:rPr>
          <w:sz w:val="28"/>
          <w:szCs w:val="28"/>
          <w:lang w:val="en-US"/>
        </w:rPr>
        <w:t xml:space="preserve"> </w:t>
      </w:r>
      <w:r w:rsidRPr="00CA67D8">
        <w:rPr>
          <w:sz w:val="28"/>
          <w:szCs w:val="28"/>
        </w:rPr>
        <w:t>которым</w:t>
      </w:r>
      <w:r w:rsidRPr="00356F06">
        <w:rPr>
          <w:sz w:val="28"/>
          <w:szCs w:val="28"/>
          <w:lang w:val="en-US"/>
        </w:rPr>
        <w:t xml:space="preserve"> </w:t>
      </w:r>
      <w:r w:rsidRPr="00CA67D8">
        <w:rPr>
          <w:sz w:val="28"/>
          <w:szCs w:val="28"/>
        </w:rPr>
        <w:t>увязаны</w:t>
      </w:r>
      <w:r w:rsidRPr="00356F06">
        <w:rPr>
          <w:sz w:val="28"/>
          <w:szCs w:val="28"/>
          <w:lang w:val="en-US"/>
        </w:rPr>
        <w:t xml:space="preserve"> </w:t>
      </w:r>
      <w:r w:rsidRPr="00CA67D8">
        <w:rPr>
          <w:sz w:val="28"/>
          <w:szCs w:val="28"/>
        </w:rPr>
        <w:t>отдельные</w:t>
      </w:r>
      <w:r w:rsidRPr="00356F06">
        <w:rPr>
          <w:sz w:val="28"/>
          <w:szCs w:val="28"/>
          <w:lang w:val="en-US"/>
        </w:rPr>
        <w:t xml:space="preserve"> </w:t>
      </w:r>
      <w:r w:rsidRPr="00CA67D8">
        <w:rPr>
          <w:sz w:val="28"/>
          <w:szCs w:val="28"/>
        </w:rPr>
        <w:t>положения</w:t>
      </w:r>
      <w:r w:rsidRPr="00356F06">
        <w:rPr>
          <w:sz w:val="28"/>
          <w:szCs w:val="28"/>
          <w:lang w:val="en-US"/>
        </w:rPr>
        <w:t xml:space="preserve"> </w:t>
      </w:r>
      <w:r w:rsidRPr="00CA67D8">
        <w:rPr>
          <w:sz w:val="28"/>
          <w:szCs w:val="28"/>
        </w:rPr>
        <w:t>разрабатываемого</w:t>
      </w:r>
      <w:r w:rsidRPr="00356F06">
        <w:rPr>
          <w:sz w:val="28"/>
          <w:szCs w:val="28"/>
          <w:lang w:val="en-US"/>
        </w:rPr>
        <w:t xml:space="preserve"> </w:t>
      </w:r>
      <w:r w:rsidRPr="00CA67D8">
        <w:rPr>
          <w:sz w:val="28"/>
          <w:szCs w:val="28"/>
        </w:rPr>
        <w:t>ГОСТ</w:t>
      </w:r>
      <w:r w:rsidRPr="00356F06">
        <w:rPr>
          <w:sz w:val="28"/>
          <w:szCs w:val="28"/>
          <w:lang w:val="en-US"/>
        </w:rPr>
        <w:t xml:space="preserve"> </w:t>
      </w:r>
      <w:r w:rsidRPr="00CA67D8">
        <w:rPr>
          <w:sz w:val="28"/>
          <w:szCs w:val="28"/>
        </w:rPr>
        <w:t>Р</w:t>
      </w:r>
      <w:r w:rsidRPr="00356F06">
        <w:rPr>
          <w:sz w:val="28"/>
          <w:szCs w:val="28"/>
          <w:lang w:val="en-US"/>
        </w:rPr>
        <w:t>.</w:t>
      </w:r>
    </w:p>
    <w:p w14:paraId="71B31E62" w14:textId="77777777" w:rsidR="004F57C2" w:rsidRPr="00932222" w:rsidRDefault="004F57C2" w:rsidP="004F57C2">
      <w:pPr>
        <w:spacing w:line="360" w:lineRule="auto"/>
        <w:ind w:firstLine="708"/>
        <w:rPr>
          <w:sz w:val="28"/>
          <w:szCs w:val="28"/>
        </w:rPr>
      </w:pPr>
      <w:r w:rsidRPr="00932222">
        <w:rPr>
          <w:sz w:val="28"/>
          <w:szCs w:val="28"/>
        </w:rPr>
        <w:t>В стандарте предусмотрены следующие группы терминов:</w:t>
      </w:r>
    </w:p>
    <w:p w14:paraId="7FA18278" w14:textId="77777777" w:rsidR="00932222" w:rsidRPr="00932222" w:rsidRDefault="00932222" w:rsidP="0093222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о</w:t>
      </w:r>
      <w:r w:rsidRPr="00932222">
        <w:rPr>
          <w:sz w:val="28"/>
          <w:szCs w:val="28"/>
        </w:rPr>
        <w:t>сновные понятия</w:t>
      </w:r>
      <w:r>
        <w:rPr>
          <w:sz w:val="28"/>
          <w:szCs w:val="28"/>
        </w:rPr>
        <w:t>;</w:t>
      </w:r>
    </w:p>
    <w:p w14:paraId="721732F2" w14:textId="77777777" w:rsidR="00932222" w:rsidRPr="00932222" w:rsidRDefault="00932222" w:rsidP="0093222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с</w:t>
      </w:r>
      <w:r w:rsidRPr="00932222">
        <w:rPr>
          <w:sz w:val="28"/>
          <w:szCs w:val="28"/>
        </w:rPr>
        <w:t>убъекты жизненного цикла</w:t>
      </w:r>
      <w:r>
        <w:rPr>
          <w:sz w:val="28"/>
          <w:szCs w:val="28"/>
        </w:rPr>
        <w:t>;</w:t>
      </w:r>
    </w:p>
    <w:p w14:paraId="7F0A69C4" w14:textId="77777777" w:rsidR="00932222" w:rsidRPr="00932222" w:rsidRDefault="00932222" w:rsidP="0093222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о</w:t>
      </w:r>
      <w:r w:rsidRPr="00932222">
        <w:rPr>
          <w:sz w:val="28"/>
          <w:szCs w:val="28"/>
        </w:rPr>
        <w:t>ценка соответствия</w:t>
      </w:r>
      <w:r>
        <w:rPr>
          <w:sz w:val="28"/>
          <w:szCs w:val="28"/>
        </w:rPr>
        <w:t>;</w:t>
      </w:r>
    </w:p>
    <w:p w14:paraId="4D888E25" w14:textId="77777777" w:rsidR="00932222" w:rsidRDefault="00932222" w:rsidP="0093222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о</w:t>
      </w:r>
      <w:r w:rsidRPr="00932222">
        <w:rPr>
          <w:sz w:val="28"/>
          <w:szCs w:val="28"/>
        </w:rPr>
        <w:t>рганизация работ</w:t>
      </w:r>
      <w:r>
        <w:rPr>
          <w:sz w:val="28"/>
          <w:szCs w:val="28"/>
        </w:rPr>
        <w:t>;</w:t>
      </w:r>
    </w:p>
    <w:p w14:paraId="0AC20AB8" w14:textId="77777777" w:rsidR="00932222" w:rsidRDefault="00932222" w:rsidP="0093222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п</w:t>
      </w:r>
      <w:r w:rsidRPr="00932222">
        <w:rPr>
          <w:sz w:val="28"/>
          <w:szCs w:val="28"/>
        </w:rPr>
        <w:t>оказатели и характеристики</w:t>
      </w:r>
      <w:r>
        <w:rPr>
          <w:sz w:val="28"/>
          <w:szCs w:val="28"/>
        </w:rPr>
        <w:t>.</w:t>
      </w:r>
    </w:p>
    <w:p w14:paraId="5121F030" w14:textId="77777777" w:rsidR="00932222" w:rsidRPr="00932222" w:rsidRDefault="00932222" w:rsidP="0093222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приложении А проекта стандарта приведены пояснения к значительному числу стандартизуемых терминов.</w:t>
      </w:r>
    </w:p>
    <w:p w14:paraId="1E0835E2" w14:textId="77777777" w:rsidR="004F57C2" w:rsidRDefault="004F57C2" w:rsidP="00932222">
      <w:pPr>
        <w:spacing w:line="360" w:lineRule="auto"/>
        <w:ind w:firstLine="708"/>
        <w:rPr>
          <w:sz w:val="28"/>
          <w:szCs w:val="28"/>
        </w:rPr>
      </w:pPr>
      <w:r w:rsidRPr="00932222">
        <w:rPr>
          <w:sz w:val="28"/>
          <w:szCs w:val="28"/>
        </w:rPr>
        <w:t>Проект стандарта включает около 70 основных понятий, необходимых в системе стандартизации и в практической деятельности по поддержке ЖЦ изделий.</w:t>
      </w:r>
    </w:p>
    <w:p w14:paraId="3C07EDC7" w14:textId="77777777" w:rsidR="00CA75B1" w:rsidRPr="008F36DF" w:rsidRDefault="00CA75B1" w:rsidP="00CA75B1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Национальный стандарт разрабатывается впервые.</w:t>
      </w:r>
    </w:p>
    <w:p w14:paraId="1739BA7F" w14:textId="77777777" w:rsidR="00286639" w:rsidRPr="00BA1E82" w:rsidRDefault="00194F18" w:rsidP="00286639">
      <w:pPr>
        <w:pStyle w:val="ac"/>
        <w:suppressAutoHyphens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8F36DF">
        <w:rPr>
          <w:sz w:val="28"/>
          <w:szCs w:val="28"/>
        </w:rPr>
        <w:t xml:space="preserve">В соответствии с действующими правилами проект стандарта прошел процедуру публичного обсуждения. </w:t>
      </w:r>
    </w:p>
    <w:p w14:paraId="1CB44D64" w14:textId="77777777" w:rsidR="00CA67D8" w:rsidRPr="00CA67D8" w:rsidRDefault="00CA67D8" w:rsidP="00CA67D8">
      <w:pPr>
        <w:spacing w:line="360" w:lineRule="auto"/>
        <w:rPr>
          <w:sz w:val="28"/>
          <w:szCs w:val="28"/>
        </w:rPr>
      </w:pPr>
      <w:r w:rsidRPr="00CA67D8">
        <w:rPr>
          <w:sz w:val="28"/>
          <w:szCs w:val="28"/>
        </w:rPr>
        <w:t xml:space="preserve">В ходе рассмотрения первой редакции проекта ГОСТ Р поступили отзывы от 53 организации. В отзывах 21 организаций замечания и предложения отсутствуют. </w:t>
      </w:r>
    </w:p>
    <w:p w14:paraId="4C09B218" w14:textId="77777777" w:rsidR="00CA67D8" w:rsidRPr="00CA67D8" w:rsidRDefault="00CA67D8" w:rsidP="00CA67D8">
      <w:pPr>
        <w:spacing w:line="360" w:lineRule="auto"/>
        <w:rPr>
          <w:sz w:val="28"/>
          <w:szCs w:val="28"/>
        </w:rPr>
      </w:pPr>
      <w:r w:rsidRPr="00CA67D8">
        <w:rPr>
          <w:sz w:val="28"/>
          <w:szCs w:val="28"/>
        </w:rPr>
        <w:t>Замечания и предложения поступили от 32 организаций: ПАО «ОДК-УМПО», АО «ЦКБ МТ «Рубин», АО «</w:t>
      </w:r>
      <w:proofErr w:type="spellStart"/>
      <w:r w:rsidRPr="00CA67D8">
        <w:rPr>
          <w:sz w:val="28"/>
          <w:szCs w:val="28"/>
        </w:rPr>
        <w:t>ЦНИИточмаш</w:t>
      </w:r>
      <w:proofErr w:type="spellEnd"/>
      <w:r w:rsidRPr="00CA67D8">
        <w:rPr>
          <w:sz w:val="28"/>
          <w:szCs w:val="28"/>
        </w:rPr>
        <w:t>», АО «КРЭМЗ», АО «Невское ПКБ», АО «Концерн «Созвездие», АО «НПП «Полет», АО «Системы управления», ПАО «Яковлев», АО «НИИАА», ПАО «РКК «Энергия», ПАО «Ил», АО «Туполев», АО «ТМХ», АО «</w:t>
      </w:r>
      <w:proofErr w:type="spellStart"/>
      <w:r w:rsidRPr="00CA67D8">
        <w:rPr>
          <w:sz w:val="28"/>
          <w:szCs w:val="28"/>
        </w:rPr>
        <w:t>ЦНИИмаш</w:t>
      </w:r>
      <w:proofErr w:type="spellEnd"/>
      <w:r w:rsidRPr="00CA67D8">
        <w:rPr>
          <w:sz w:val="28"/>
          <w:szCs w:val="28"/>
        </w:rPr>
        <w:t xml:space="preserve">», АО «ПО «Севмаш», ФГУП «ВНИИ «Центр», АО «Концерн ВКО «Алмаз-Антей», АО «ПО «УОМЗ», АО «Северное ПКБ», АО «ЦС «Звездочка», АО «НИПТБ «Онега», НИЦ «Курчатовский институт», АО «НПП «Респиратор», ООО «ТМХ Инжиниринг», АО «СПМБМ «Малахит», ООО «ТМХ Технологии», АО </w:t>
      </w:r>
      <w:r w:rsidRPr="00CA67D8">
        <w:rPr>
          <w:sz w:val="28"/>
          <w:szCs w:val="28"/>
        </w:rPr>
        <w:lastRenderedPageBreak/>
        <w:t>«Концерн «Уралвагонзавод», ООО «ТМХ-</w:t>
      </w:r>
      <w:proofErr w:type="spellStart"/>
      <w:r w:rsidRPr="00CA67D8">
        <w:rPr>
          <w:sz w:val="28"/>
          <w:szCs w:val="28"/>
        </w:rPr>
        <w:t>Электротех</w:t>
      </w:r>
      <w:proofErr w:type="spellEnd"/>
      <w:r w:rsidRPr="00CA67D8">
        <w:rPr>
          <w:sz w:val="28"/>
          <w:szCs w:val="28"/>
        </w:rPr>
        <w:t>», ФГБОУ ВО «</w:t>
      </w:r>
      <w:proofErr w:type="spellStart"/>
      <w:r w:rsidRPr="00CA67D8">
        <w:rPr>
          <w:sz w:val="28"/>
          <w:szCs w:val="28"/>
        </w:rPr>
        <w:t>ИжГТУ</w:t>
      </w:r>
      <w:proofErr w:type="spellEnd"/>
      <w:r w:rsidRPr="00CA67D8">
        <w:rPr>
          <w:sz w:val="28"/>
          <w:szCs w:val="28"/>
        </w:rPr>
        <w:t xml:space="preserve"> им. М.Т. Калашникова», АО «Коломенский завод», АО  «Невское ПКБ». </w:t>
      </w:r>
    </w:p>
    <w:p w14:paraId="2B022879" w14:textId="77777777" w:rsidR="00CA67D8" w:rsidRDefault="00CA67D8" w:rsidP="00CA67D8">
      <w:pPr>
        <w:spacing w:line="360" w:lineRule="auto"/>
        <w:rPr>
          <w:sz w:val="28"/>
          <w:szCs w:val="28"/>
        </w:rPr>
      </w:pPr>
      <w:r w:rsidRPr="00CA67D8">
        <w:rPr>
          <w:sz w:val="28"/>
          <w:szCs w:val="28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 450 полученных замечаний: принято – 212, принято частично – 129, отклонено – 54 (обоснования приведены в сводке отзывов), принято к сведению – 55.</w:t>
      </w:r>
    </w:p>
    <w:p w14:paraId="0CD77710" w14:textId="77777777" w:rsidR="006552BB" w:rsidRDefault="005C23D5" w:rsidP="006552BB">
      <w:pPr>
        <w:spacing w:line="360" w:lineRule="auto"/>
        <w:rPr>
          <w:sz w:val="28"/>
          <w:szCs w:val="28"/>
        </w:rPr>
      </w:pPr>
      <w:r w:rsidRPr="005C23D5">
        <w:rPr>
          <w:sz w:val="28"/>
          <w:szCs w:val="28"/>
        </w:rPr>
        <w:t xml:space="preserve">Проект стандарта существенно доработан по замечаниям </w:t>
      </w:r>
      <w:r w:rsidR="000667CE" w:rsidRPr="000667CE">
        <w:rPr>
          <w:sz w:val="28"/>
          <w:szCs w:val="28"/>
        </w:rPr>
        <w:t xml:space="preserve">АО «Концерн ВКО «Алмаз-Антей», </w:t>
      </w:r>
      <w:r w:rsidRPr="000667CE">
        <w:rPr>
          <w:sz w:val="28"/>
          <w:szCs w:val="28"/>
        </w:rPr>
        <w:t>АО «КБП», Группа «ТМХ», АО «</w:t>
      </w:r>
      <w:proofErr w:type="spellStart"/>
      <w:r w:rsidRPr="000667CE">
        <w:rPr>
          <w:sz w:val="28"/>
          <w:szCs w:val="28"/>
        </w:rPr>
        <w:t>ЦНИИмаш</w:t>
      </w:r>
      <w:proofErr w:type="spellEnd"/>
      <w:r w:rsidRPr="000667CE">
        <w:rPr>
          <w:sz w:val="28"/>
          <w:szCs w:val="28"/>
        </w:rPr>
        <w:t>», ФГУП «ВНИИ «Центр», Ассоциация «ОПЖТ», АО «НЦВ Миль и Камов»</w:t>
      </w:r>
      <w:r w:rsidR="00EE2662">
        <w:rPr>
          <w:sz w:val="28"/>
          <w:szCs w:val="28"/>
        </w:rPr>
        <w:t xml:space="preserve">, </w:t>
      </w:r>
      <w:r w:rsidR="00EE2662" w:rsidRPr="003A5330">
        <w:rPr>
          <w:sz w:val="28"/>
          <w:szCs w:val="28"/>
        </w:rPr>
        <w:t>АО «Туполев», АО «ОСК», АО «ЦКБ МТ «Рубин»</w:t>
      </w:r>
      <w:r w:rsidRPr="000667CE">
        <w:rPr>
          <w:sz w:val="28"/>
          <w:szCs w:val="28"/>
        </w:rPr>
        <w:t xml:space="preserve"> и других</w:t>
      </w:r>
      <w:r w:rsidR="00CA67D8">
        <w:rPr>
          <w:sz w:val="28"/>
          <w:szCs w:val="28"/>
        </w:rPr>
        <w:t xml:space="preserve"> организаций</w:t>
      </w:r>
      <w:r w:rsidRPr="005C23D5">
        <w:rPr>
          <w:sz w:val="28"/>
          <w:szCs w:val="28"/>
        </w:rPr>
        <w:t xml:space="preserve">. </w:t>
      </w:r>
    </w:p>
    <w:p w14:paraId="40FF50C4" w14:textId="00B19218" w:rsidR="00D46D66" w:rsidRDefault="00214F35" w:rsidP="00406CD1">
      <w:pPr>
        <w:spacing w:line="360" w:lineRule="auto"/>
        <w:rPr>
          <w:sz w:val="28"/>
          <w:szCs w:val="28"/>
        </w:rPr>
      </w:pPr>
      <w:r w:rsidRPr="0090600E">
        <w:rPr>
          <w:sz w:val="28"/>
          <w:szCs w:val="28"/>
        </w:rPr>
        <w:t xml:space="preserve">Окончательная редакция проекта стандарта рассмотрена членами ТК 482 «Поддержка жизненного цикла продукции», в результате чего поступили </w:t>
      </w:r>
      <w:r w:rsidR="00CA67D8" w:rsidRPr="00356F06">
        <w:rPr>
          <w:sz w:val="28"/>
          <w:szCs w:val="28"/>
        </w:rPr>
        <w:t xml:space="preserve">отзывы </w:t>
      </w:r>
      <w:r w:rsidRPr="00356F06">
        <w:rPr>
          <w:sz w:val="28"/>
          <w:szCs w:val="28"/>
        </w:rPr>
        <w:t xml:space="preserve">от </w:t>
      </w:r>
      <w:r w:rsidR="00356F06" w:rsidRPr="00356F06">
        <w:rPr>
          <w:sz w:val="28"/>
          <w:szCs w:val="28"/>
        </w:rPr>
        <w:t>12</w:t>
      </w:r>
      <w:r w:rsidRPr="00356F06">
        <w:rPr>
          <w:sz w:val="28"/>
          <w:szCs w:val="28"/>
        </w:rPr>
        <w:t xml:space="preserve"> организаций: </w:t>
      </w:r>
      <w:r w:rsidR="00406CD1" w:rsidRPr="00356F06">
        <w:rPr>
          <w:sz w:val="28"/>
          <w:szCs w:val="28"/>
        </w:rPr>
        <w:t>АО «КБП», АО «Концерн ВКО «Алмаз-Антей», АО «НПК «Уралвагонзавод», АО «НПО «Высокоточные комплексы», АО «НЦВ Миль и Камов», АО «ОПК», АО «ОСК», АО «Туполев», АО «ЦКБ МТ «Рубин», АО «</w:t>
      </w:r>
      <w:proofErr w:type="spellStart"/>
      <w:r w:rsidR="00406CD1" w:rsidRPr="00356F06">
        <w:rPr>
          <w:sz w:val="28"/>
          <w:szCs w:val="28"/>
        </w:rPr>
        <w:t>ЦНИИмаш</w:t>
      </w:r>
      <w:proofErr w:type="spellEnd"/>
      <w:r w:rsidR="00406CD1" w:rsidRPr="00356F06">
        <w:rPr>
          <w:sz w:val="28"/>
          <w:szCs w:val="28"/>
        </w:rPr>
        <w:t>»</w:t>
      </w:r>
      <w:r w:rsidR="003D5FA5" w:rsidRPr="00356F06">
        <w:rPr>
          <w:sz w:val="28"/>
          <w:szCs w:val="28"/>
        </w:rPr>
        <w:t>, ООО «КСК»</w:t>
      </w:r>
      <w:r w:rsidR="00406CD1" w:rsidRPr="00356F06">
        <w:rPr>
          <w:sz w:val="28"/>
          <w:szCs w:val="28"/>
        </w:rPr>
        <w:t xml:space="preserve"> и ООО «ТМХ Инжиниринг»</w:t>
      </w:r>
      <w:r w:rsidR="0090600E" w:rsidRPr="00356F06">
        <w:rPr>
          <w:sz w:val="28"/>
          <w:szCs w:val="28"/>
        </w:rPr>
        <w:t xml:space="preserve">. </w:t>
      </w:r>
      <w:r w:rsidR="00D46D66" w:rsidRPr="00356F06">
        <w:rPr>
          <w:sz w:val="28"/>
          <w:szCs w:val="28"/>
        </w:rPr>
        <w:t>В</w:t>
      </w:r>
      <w:r w:rsidR="00D46D66" w:rsidRPr="00406CD1">
        <w:rPr>
          <w:sz w:val="28"/>
          <w:szCs w:val="28"/>
        </w:rPr>
        <w:t xml:space="preserve"> отзывах 1</w:t>
      </w:r>
      <w:r w:rsidR="00A84375">
        <w:rPr>
          <w:sz w:val="28"/>
          <w:szCs w:val="28"/>
        </w:rPr>
        <w:t>8</w:t>
      </w:r>
      <w:r w:rsidR="00D46D66" w:rsidRPr="00406CD1">
        <w:rPr>
          <w:sz w:val="28"/>
          <w:szCs w:val="28"/>
        </w:rPr>
        <w:t xml:space="preserve"> организаций замечания и предложения отсутствуют.</w:t>
      </w:r>
    </w:p>
    <w:p w14:paraId="1DCA52A3" w14:textId="1A7BB1EC" w:rsidR="00214F35" w:rsidRPr="00EE2662" w:rsidRDefault="0090600E" w:rsidP="00214F35">
      <w:pPr>
        <w:spacing w:line="360" w:lineRule="auto"/>
        <w:rPr>
          <w:sz w:val="28"/>
          <w:szCs w:val="28"/>
        </w:rPr>
      </w:pPr>
      <w:r w:rsidRPr="0090600E">
        <w:rPr>
          <w:sz w:val="28"/>
          <w:szCs w:val="28"/>
        </w:rPr>
        <w:t xml:space="preserve">По всем полученным </w:t>
      </w:r>
      <w:r w:rsidR="00EE2662">
        <w:rPr>
          <w:sz w:val="28"/>
          <w:szCs w:val="28"/>
        </w:rPr>
        <w:t xml:space="preserve">от организаций </w:t>
      </w:r>
      <w:r w:rsidRPr="0090600E">
        <w:rPr>
          <w:sz w:val="28"/>
          <w:szCs w:val="28"/>
        </w:rPr>
        <w:t xml:space="preserve">замечаниям и предложениям составлена сводка отзывов, на основании которой подготовлена окончательная редакция проекта ГОСТ Р. </w:t>
      </w:r>
      <w:r w:rsidRPr="00EE2662">
        <w:rPr>
          <w:sz w:val="28"/>
          <w:szCs w:val="28"/>
        </w:rPr>
        <w:t>Из 8</w:t>
      </w:r>
      <w:r w:rsidR="00A84375">
        <w:rPr>
          <w:sz w:val="28"/>
          <w:szCs w:val="28"/>
        </w:rPr>
        <w:t>4</w:t>
      </w:r>
      <w:r w:rsidRPr="00EE2662">
        <w:rPr>
          <w:sz w:val="28"/>
          <w:szCs w:val="28"/>
        </w:rPr>
        <w:t xml:space="preserve"> полученных замечаний: принято – </w:t>
      </w:r>
      <w:r w:rsidR="00EE2662" w:rsidRPr="00A84375">
        <w:rPr>
          <w:sz w:val="28"/>
          <w:szCs w:val="28"/>
        </w:rPr>
        <w:t>4</w:t>
      </w:r>
      <w:r w:rsidR="00B05A4B" w:rsidRPr="00A84375">
        <w:rPr>
          <w:sz w:val="28"/>
          <w:szCs w:val="28"/>
        </w:rPr>
        <w:t>6</w:t>
      </w:r>
      <w:r w:rsidRPr="00A84375">
        <w:rPr>
          <w:sz w:val="28"/>
          <w:szCs w:val="28"/>
        </w:rPr>
        <w:t xml:space="preserve">, принято частично – </w:t>
      </w:r>
      <w:r w:rsidR="00EE2662" w:rsidRPr="00A84375">
        <w:rPr>
          <w:sz w:val="28"/>
          <w:szCs w:val="28"/>
        </w:rPr>
        <w:t>2</w:t>
      </w:r>
      <w:r w:rsidRPr="00A84375">
        <w:rPr>
          <w:sz w:val="28"/>
          <w:szCs w:val="28"/>
        </w:rPr>
        <w:t xml:space="preserve">1, принято к сведению – </w:t>
      </w:r>
      <w:r w:rsidR="00EE2662" w:rsidRPr="00A84375">
        <w:rPr>
          <w:sz w:val="28"/>
          <w:szCs w:val="28"/>
        </w:rPr>
        <w:t>1</w:t>
      </w:r>
      <w:r w:rsidRPr="00A84375">
        <w:rPr>
          <w:sz w:val="28"/>
          <w:szCs w:val="28"/>
        </w:rPr>
        <w:t xml:space="preserve">. Отклонено – </w:t>
      </w:r>
      <w:r w:rsidR="00EE2662" w:rsidRPr="00A84375">
        <w:rPr>
          <w:sz w:val="28"/>
          <w:szCs w:val="28"/>
        </w:rPr>
        <w:t>16</w:t>
      </w:r>
      <w:r w:rsidRPr="00A843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5D0EC1C" w14:textId="77777777" w:rsidR="005C23D5" w:rsidRPr="00883EF7" w:rsidRDefault="005C23D5" w:rsidP="005C23D5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Окончательная редакция была доработана по замечаниям </w:t>
      </w:r>
      <w:r w:rsidR="00CA67D8">
        <w:rPr>
          <w:color w:val="000000"/>
          <w:sz w:val="28"/>
          <w:szCs w:val="28"/>
        </w:rPr>
        <w:t xml:space="preserve">членов ТК 482 </w:t>
      </w:r>
      <w:r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 xml:space="preserve"> прошла процедуру голосования. </w:t>
      </w:r>
      <w:r w:rsidRPr="00F52456">
        <w:rPr>
          <w:sz w:val="28"/>
          <w:szCs w:val="28"/>
          <w:highlight w:val="yellow"/>
        </w:rPr>
        <w:t>В ходе голосования проект поддержало Х организации из Х, голосов «против» нет. От Х организаций-членов ТК ответы не поступили.</w:t>
      </w:r>
    </w:p>
    <w:p w14:paraId="6AFEF783" w14:textId="77777777" w:rsidR="001B285E" w:rsidRPr="008F36DF" w:rsidRDefault="00194F18" w:rsidP="004F57C2">
      <w:p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На основании статьи 24 Федерального закона от 29 июня 2015 г. №</w:t>
      </w:r>
      <w:r w:rsidR="00EE2662">
        <w:rPr>
          <w:sz w:val="28"/>
          <w:szCs w:val="28"/>
        </w:rPr>
        <w:t> </w:t>
      </w:r>
      <w:r w:rsidRPr="008F36DF">
        <w:rPr>
          <w:sz w:val="28"/>
          <w:szCs w:val="28"/>
        </w:rPr>
        <w:t xml:space="preserve">162-ФЗ «О стандартизации в Российской Федерации», с учетом результатов экспертизы проекта национального стандарта и на основе консенсуса ТК </w:t>
      </w:r>
      <w:r w:rsidR="00684FE8">
        <w:rPr>
          <w:sz w:val="28"/>
          <w:szCs w:val="28"/>
        </w:rPr>
        <w:t>482</w:t>
      </w:r>
      <w:r w:rsidRPr="008F36DF">
        <w:rPr>
          <w:sz w:val="28"/>
          <w:szCs w:val="28"/>
        </w:rPr>
        <w:t xml:space="preserve"> </w:t>
      </w:r>
      <w:r w:rsidR="00684FE8">
        <w:rPr>
          <w:sz w:val="28"/>
          <w:szCs w:val="28"/>
        </w:rPr>
        <w:t>«</w:t>
      </w:r>
      <w:r w:rsidR="00684FE8" w:rsidRPr="00684FE8">
        <w:rPr>
          <w:sz w:val="28"/>
          <w:szCs w:val="28"/>
        </w:rPr>
        <w:t>Поддержка жизненного цикла продукции</w:t>
      </w:r>
      <w:r w:rsidR="00684FE8">
        <w:rPr>
          <w:sz w:val="28"/>
          <w:szCs w:val="28"/>
        </w:rPr>
        <w:t>»</w:t>
      </w:r>
      <w:r w:rsidRPr="008F36DF">
        <w:rPr>
          <w:sz w:val="28"/>
          <w:szCs w:val="28"/>
        </w:rPr>
        <w:t xml:space="preserve"> считает возможным </w:t>
      </w:r>
      <w:r w:rsidRPr="008F36DF">
        <w:rPr>
          <w:sz w:val="28"/>
          <w:szCs w:val="28"/>
        </w:rPr>
        <w:lastRenderedPageBreak/>
        <w:t xml:space="preserve">рекомендовать к утверждению проект </w:t>
      </w:r>
      <w:r w:rsidR="004F7442">
        <w:rPr>
          <w:sz w:val="28"/>
          <w:szCs w:val="28"/>
        </w:rPr>
        <w:t>ГОСТ Р</w:t>
      </w:r>
      <w:r w:rsidR="003D439A">
        <w:rPr>
          <w:sz w:val="28"/>
          <w:szCs w:val="28"/>
        </w:rPr>
        <w:t xml:space="preserve"> </w:t>
      </w:r>
      <w:r w:rsidR="003D439A" w:rsidRPr="003D439A">
        <w:rPr>
          <w:sz w:val="28"/>
          <w:szCs w:val="28"/>
        </w:rPr>
        <w:t>«</w:t>
      </w:r>
      <w:r w:rsidR="004F57C2" w:rsidRPr="004F57C2">
        <w:rPr>
          <w:sz w:val="28"/>
          <w:szCs w:val="28"/>
        </w:rPr>
        <w:t>Система поддержки жизненного цикла издели</w:t>
      </w:r>
      <w:r w:rsidR="00F75CFF">
        <w:rPr>
          <w:sz w:val="28"/>
          <w:szCs w:val="28"/>
        </w:rPr>
        <w:t>я</w:t>
      </w:r>
      <w:r w:rsidR="004F57C2" w:rsidRPr="004F57C2">
        <w:rPr>
          <w:sz w:val="28"/>
          <w:szCs w:val="28"/>
        </w:rPr>
        <w:t>. Термины и определения</w:t>
      </w:r>
      <w:r w:rsidR="003D439A" w:rsidRPr="003D439A">
        <w:rPr>
          <w:sz w:val="28"/>
          <w:szCs w:val="28"/>
        </w:rPr>
        <w:t>»</w:t>
      </w:r>
      <w:r w:rsidR="00286639" w:rsidRPr="00BA1E82">
        <w:rPr>
          <w:color w:val="000000"/>
          <w:sz w:val="28"/>
          <w:szCs w:val="28"/>
        </w:rPr>
        <w:t xml:space="preserve">, </w:t>
      </w:r>
      <w:r w:rsidR="00286639" w:rsidRPr="008F36DF">
        <w:rPr>
          <w:sz w:val="28"/>
          <w:szCs w:val="28"/>
        </w:rPr>
        <w:t xml:space="preserve">разработанный </w:t>
      </w:r>
      <w:r w:rsidR="004F7442">
        <w:rPr>
          <w:sz w:val="28"/>
          <w:szCs w:val="28"/>
        </w:rPr>
        <w:t>А</w:t>
      </w:r>
      <w:r w:rsidR="00684FE8">
        <w:rPr>
          <w:color w:val="000000"/>
          <w:sz w:val="28"/>
          <w:szCs w:val="28"/>
        </w:rPr>
        <w:t xml:space="preserve">О НИЦ «Прикладная </w:t>
      </w:r>
      <w:r w:rsidR="005C23D5">
        <w:rPr>
          <w:color w:val="000000"/>
          <w:sz w:val="28"/>
          <w:szCs w:val="28"/>
        </w:rPr>
        <w:t>л</w:t>
      </w:r>
      <w:r w:rsidR="00684FE8">
        <w:rPr>
          <w:color w:val="000000"/>
          <w:sz w:val="28"/>
          <w:szCs w:val="28"/>
        </w:rPr>
        <w:t>огистика»</w:t>
      </w:r>
      <w:r w:rsidR="00F703EA" w:rsidRPr="008F36DF">
        <w:rPr>
          <w:color w:val="000000"/>
          <w:sz w:val="28"/>
          <w:szCs w:val="28"/>
        </w:rPr>
        <w:t xml:space="preserve"> </w:t>
      </w:r>
      <w:r w:rsidR="00286639" w:rsidRPr="008F36DF">
        <w:rPr>
          <w:sz w:val="28"/>
          <w:szCs w:val="28"/>
        </w:rPr>
        <w:t xml:space="preserve">в рамках </w:t>
      </w:r>
      <w:r w:rsidR="003923C5" w:rsidRPr="001A23D0">
        <w:rPr>
          <w:sz w:val="28"/>
          <w:szCs w:val="28"/>
        </w:rPr>
        <w:t>Перспективн</w:t>
      </w:r>
      <w:r w:rsidR="003923C5">
        <w:rPr>
          <w:sz w:val="28"/>
          <w:szCs w:val="28"/>
        </w:rPr>
        <w:t>ой</w:t>
      </w:r>
      <w:r w:rsidR="003923C5" w:rsidRPr="001A23D0">
        <w:rPr>
          <w:sz w:val="28"/>
          <w:szCs w:val="28"/>
        </w:rPr>
        <w:t xml:space="preserve"> программ</w:t>
      </w:r>
      <w:r w:rsidR="003923C5">
        <w:rPr>
          <w:sz w:val="28"/>
          <w:szCs w:val="28"/>
        </w:rPr>
        <w:t>ы</w:t>
      </w:r>
      <w:r w:rsidR="003923C5" w:rsidRPr="001A23D0">
        <w:rPr>
          <w:sz w:val="28"/>
          <w:szCs w:val="28"/>
        </w:rPr>
        <w:t xml:space="preserve"> стандартизации в области поддержки жизненного цикла изделий на 2024-2026 гг. и Программ</w:t>
      </w:r>
      <w:r w:rsidR="003923C5">
        <w:rPr>
          <w:sz w:val="28"/>
          <w:szCs w:val="28"/>
        </w:rPr>
        <w:t>ы</w:t>
      </w:r>
      <w:r w:rsidR="003923C5" w:rsidRPr="001A23D0">
        <w:rPr>
          <w:sz w:val="28"/>
          <w:szCs w:val="28"/>
        </w:rPr>
        <w:t xml:space="preserve"> национальной стандартизации на 2025 г</w:t>
      </w:r>
      <w:r w:rsidR="003923C5" w:rsidRPr="003D439A">
        <w:rPr>
          <w:sz w:val="28"/>
          <w:szCs w:val="28"/>
        </w:rPr>
        <w:t>.</w:t>
      </w:r>
      <w:r w:rsidR="003D439A" w:rsidRPr="003D439A">
        <w:rPr>
          <w:sz w:val="28"/>
          <w:szCs w:val="28"/>
        </w:rPr>
        <w:t xml:space="preserve"> (шифр темы </w:t>
      </w:r>
      <w:r w:rsidR="005C23D5" w:rsidRPr="003923C5">
        <w:rPr>
          <w:color w:val="000000"/>
          <w:sz w:val="28"/>
          <w:szCs w:val="28"/>
        </w:rPr>
        <w:t>1.0.482-1.0</w:t>
      </w:r>
      <w:r w:rsidR="003923C5" w:rsidRPr="003923C5">
        <w:rPr>
          <w:color w:val="000000"/>
          <w:sz w:val="28"/>
          <w:szCs w:val="28"/>
        </w:rPr>
        <w:t>96</w:t>
      </w:r>
      <w:r w:rsidR="005C23D5" w:rsidRPr="003923C5">
        <w:rPr>
          <w:color w:val="000000"/>
          <w:sz w:val="28"/>
          <w:szCs w:val="28"/>
        </w:rPr>
        <w:t>.2</w:t>
      </w:r>
      <w:r w:rsidR="003923C5" w:rsidRPr="003923C5">
        <w:rPr>
          <w:color w:val="000000"/>
          <w:sz w:val="28"/>
          <w:szCs w:val="28"/>
        </w:rPr>
        <w:t>5</w:t>
      </w:r>
      <w:r w:rsidR="003D439A" w:rsidRPr="003D439A">
        <w:rPr>
          <w:sz w:val="28"/>
          <w:szCs w:val="28"/>
        </w:rPr>
        <w:t>)</w:t>
      </w:r>
      <w:r w:rsidR="00286639" w:rsidRPr="008F36DF">
        <w:rPr>
          <w:sz w:val="28"/>
          <w:szCs w:val="28"/>
        </w:rPr>
        <w:t xml:space="preserve">, в качестве национального стандарта </w:t>
      </w:r>
      <w:r w:rsidR="00286639" w:rsidRPr="006552BB">
        <w:rPr>
          <w:sz w:val="28"/>
          <w:szCs w:val="28"/>
        </w:rPr>
        <w:t>Российской Федерации</w:t>
      </w:r>
      <w:r w:rsidRPr="006552BB">
        <w:rPr>
          <w:sz w:val="28"/>
          <w:szCs w:val="28"/>
        </w:rPr>
        <w:t xml:space="preserve"> </w:t>
      </w:r>
      <w:bookmarkStart w:id="1" w:name="_Hlk224722134"/>
      <w:r w:rsidR="005C23D5" w:rsidRPr="006552BB">
        <w:rPr>
          <w:sz w:val="28"/>
          <w:szCs w:val="28"/>
          <w:highlight w:val="cyan"/>
        </w:rPr>
        <w:t xml:space="preserve">с датой введения в действие «01» </w:t>
      </w:r>
      <w:r w:rsidR="006552BB" w:rsidRPr="006552BB">
        <w:rPr>
          <w:sz w:val="28"/>
          <w:szCs w:val="28"/>
          <w:highlight w:val="cyan"/>
        </w:rPr>
        <w:t>марта</w:t>
      </w:r>
      <w:r w:rsidR="005C23D5" w:rsidRPr="006552BB">
        <w:rPr>
          <w:sz w:val="28"/>
          <w:szCs w:val="28"/>
          <w:highlight w:val="cyan"/>
        </w:rPr>
        <w:t xml:space="preserve"> 2027 г.</w:t>
      </w:r>
      <w:bookmarkEnd w:id="1"/>
      <w:r w:rsidR="005C23D5" w:rsidRPr="006552BB">
        <w:rPr>
          <w:sz w:val="28"/>
          <w:szCs w:val="28"/>
          <w:highlight w:val="cyan"/>
        </w:rPr>
        <w:t xml:space="preserve"> (с правом досрочного применения).</w:t>
      </w:r>
    </w:p>
    <w:p w14:paraId="526A5AD8" w14:textId="77777777" w:rsidR="00CA75B1" w:rsidRPr="008F36DF" w:rsidRDefault="00CA75B1" w:rsidP="00734E59">
      <w:pPr>
        <w:tabs>
          <w:tab w:val="left" w:pos="7254"/>
        </w:tabs>
        <w:spacing w:after="240"/>
        <w:ind w:firstLine="0"/>
        <w:rPr>
          <w:sz w:val="28"/>
          <w:szCs w:val="28"/>
        </w:rPr>
      </w:pPr>
    </w:p>
    <w:p w14:paraId="552BECDB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 xml:space="preserve">Председатель ТК 482 </w:t>
      </w:r>
    </w:p>
    <w:p w14:paraId="4EA66041" w14:textId="77777777" w:rsidR="0028617D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rFonts w:eastAsia="Calibri"/>
          <w:sz w:val="28"/>
          <w:szCs w:val="28"/>
        </w:rPr>
      </w:pPr>
      <w:r w:rsidRPr="008F36DF">
        <w:rPr>
          <w:sz w:val="28"/>
          <w:szCs w:val="28"/>
        </w:rPr>
        <w:t>«</w:t>
      </w:r>
      <w:r w:rsidRPr="008F36DF">
        <w:rPr>
          <w:rFonts w:eastAsia="Calibri"/>
          <w:sz w:val="28"/>
          <w:szCs w:val="28"/>
        </w:rPr>
        <w:t xml:space="preserve">Поддержка жизненного </w:t>
      </w:r>
    </w:p>
    <w:p w14:paraId="112A65FA" w14:textId="1A231341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rFonts w:eastAsia="Calibri"/>
          <w:sz w:val="28"/>
          <w:szCs w:val="28"/>
        </w:rPr>
        <w:t>цикла продукции</w:t>
      </w:r>
      <w:r w:rsidRPr="008F36DF">
        <w:rPr>
          <w:sz w:val="28"/>
          <w:szCs w:val="28"/>
        </w:rPr>
        <w:t>»</w:t>
      </w:r>
      <w:r w:rsidRPr="008F36DF">
        <w:rPr>
          <w:sz w:val="28"/>
          <w:szCs w:val="28"/>
        </w:rPr>
        <w:tab/>
        <w:t xml:space="preserve">     Е.В. Судов  </w:t>
      </w:r>
    </w:p>
    <w:p w14:paraId="2296E830" w14:textId="77777777" w:rsidR="00641FE4" w:rsidRPr="008F36DF" w:rsidRDefault="00641FE4" w:rsidP="00641FE4">
      <w:pPr>
        <w:tabs>
          <w:tab w:val="left" w:pos="7254"/>
        </w:tabs>
        <w:spacing w:line="240" w:lineRule="auto"/>
        <w:ind w:firstLine="0"/>
        <w:jc w:val="left"/>
        <w:rPr>
          <w:sz w:val="28"/>
          <w:szCs w:val="28"/>
        </w:rPr>
      </w:pPr>
    </w:p>
    <w:sectPr w:rsidR="00641FE4" w:rsidRPr="008F36DF" w:rsidSect="008A6BE3">
      <w:footerReference w:type="default" r:id="rId7"/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FC88" w14:textId="77777777" w:rsidR="0038016D" w:rsidRDefault="0038016D" w:rsidP="00DF305D">
      <w:pPr>
        <w:spacing w:line="240" w:lineRule="auto"/>
      </w:pPr>
      <w:r>
        <w:separator/>
      </w:r>
    </w:p>
  </w:endnote>
  <w:endnote w:type="continuationSeparator" w:id="0">
    <w:p w14:paraId="48CEBA0C" w14:textId="77777777" w:rsidR="0038016D" w:rsidRDefault="0038016D" w:rsidP="00DF3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EAA2" w14:textId="77777777" w:rsidR="008A6BE3" w:rsidRDefault="008A6BE3" w:rsidP="001F0602">
    <w:pPr>
      <w:pStyle w:val="aa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75CB" w14:textId="77777777" w:rsidR="008D61D2" w:rsidRDefault="008D61D2" w:rsidP="00932222">
    <w:pPr>
      <w:pStyle w:val="aa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20E9" w14:textId="77777777" w:rsidR="0038016D" w:rsidRDefault="0038016D" w:rsidP="00DF305D">
      <w:pPr>
        <w:spacing w:line="240" w:lineRule="auto"/>
      </w:pPr>
      <w:r>
        <w:separator/>
      </w:r>
    </w:p>
  </w:footnote>
  <w:footnote w:type="continuationSeparator" w:id="0">
    <w:p w14:paraId="17781B31" w14:textId="77777777" w:rsidR="0038016D" w:rsidRDefault="0038016D" w:rsidP="00DF30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3DF"/>
    <w:multiLevelType w:val="hybridMultilevel"/>
    <w:tmpl w:val="9C6A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150A2"/>
    <w:multiLevelType w:val="hybridMultilevel"/>
    <w:tmpl w:val="3A86803A"/>
    <w:lvl w:ilvl="0" w:tplc="992A899E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666F50"/>
    <w:multiLevelType w:val="hybridMultilevel"/>
    <w:tmpl w:val="D17C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AE0B0D"/>
    <w:multiLevelType w:val="hybridMultilevel"/>
    <w:tmpl w:val="225C7F2A"/>
    <w:lvl w:ilvl="0" w:tplc="041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1D8815B2"/>
    <w:multiLevelType w:val="hybridMultilevel"/>
    <w:tmpl w:val="EBEC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064196"/>
    <w:multiLevelType w:val="hybridMultilevel"/>
    <w:tmpl w:val="C7FA5570"/>
    <w:lvl w:ilvl="0" w:tplc="18361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C9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08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66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43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B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0C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EE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A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8C42D6"/>
    <w:multiLevelType w:val="hybridMultilevel"/>
    <w:tmpl w:val="1C04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61C85"/>
    <w:multiLevelType w:val="hybridMultilevel"/>
    <w:tmpl w:val="4F68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22AEC"/>
    <w:multiLevelType w:val="hybridMultilevel"/>
    <w:tmpl w:val="999C7FB2"/>
    <w:lvl w:ilvl="0" w:tplc="7168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3161F"/>
    <w:multiLevelType w:val="hybridMultilevel"/>
    <w:tmpl w:val="BD56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C5964"/>
    <w:multiLevelType w:val="hybridMultilevel"/>
    <w:tmpl w:val="D9E6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C7926"/>
    <w:multiLevelType w:val="hybridMultilevel"/>
    <w:tmpl w:val="8F625032"/>
    <w:lvl w:ilvl="0" w:tplc="5D642F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D212F76"/>
    <w:multiLevelType w:val="hybridMultilevel"/>
    <w:tmpl w:val="1C34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56CE2"/>
    <w:multiLevelType w:val="hybridMultilevel"/>
    <w:tmpl w:val="E8965104"/>
    <w:lvl w:ilvl="0" w:tplc="71683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077671"/>
    <w:multiLevelType w:val="hybridMultilevel"/>
    <w:tmpl w:val="D42E87A4"/>
    <w:lvl w:ilvl="0" w:tplc="04E62B1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514D4D2C"/>
    <w:multiLevelType w:val="hybridMultilevel"/>
    <w:tmpl w:val="0736DE7C"/>
    <w:lvl w:ilvl="0" w:tplc="DABC0C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591592D"/>
    <w:multiLevelType w:val="hybridMultilevel"/>
    <w:tmpl w:val="4EA2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05903"/>
    <w:multiLevelType w:val="hybridMultilevel"/>
    <w:tmpl w:val="4D9A9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C9F695D"/>
    <w:multiLevelType w:val="hybridMultilevel"/>
    <w:tmpl w:val="17B8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43FCF"/>
    <w:multiLevelType w:val="hybridMultilevel"/>
    <w:tmpl w:val="705A96B8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50836"/>
    <w:multiLevelType w:val="hybridMultilevel"/>
    <w:tmpl w:val="5504D7DA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2"/>
  </w:num>
  <w:num w:numId="5">
    <w:abstractNumId w:val="17"/>
  </w:num>
  <w:num w:numId="6">
    <w:abstractNumId w:val="5"/>
  </w:num>
  <w:num w:numId="7">
    <w:abstractNumId w:val="13"/>
  </w:num>
  <w:num w:numId="8">
    <w:abstractNumId w:val="8"/>
  </w:num>
  <w:num w:numId="9">
    <w:abstractNumId w:val="3"/>
  </w:num>
  <w:num w:numId="10">
    <w:abstractNumId w:val="0"/>
  </w:num>
  <w:num w:numId="11">
    <w:abstractNumId w:val="4"/>
  </w:num>
  <w:num w:numId="12">
    <w:abstractNumId w:val="16"/>
  </w:num>
  <w:num w:numId="13">
    <w:abstractNumId w:val="7"/>
  </w:num>
  <w:num w:numId="14">
    <w:abstractNumId w:val="18"/>
  </w:num>
  <w:num w:numId="15">
    <w:abstractNumId w:val="12"/>
  </w:num>
  <w:num w:numId="16">
    <w:abstractNumId w:val="9"/>
  </w:num>
  <w:num w:numId="17">
    <w:abstractNumId w:val="10"/>
  </w:num>
  <w:num w:numId="18">
    <w:abstractNumId w:val="6"/>
  </w:num>
  <w:num w:numId="19">
    <w:abstractNumId w:val="20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31"/>
    <w:rsid w:val="00020C70"/>
    <w:rsid w:val="00030DDC"/>
    <w:rsid w:val="000320B9"/>
    <w:rsid w:val="00034DAB"/>
    <w:rsid w:val="000510FE"/>
    <w:rsid w:val="0005449D"/>
    <w:rsid w:val="00064DB0"/>
    <w:rsid w:val="000667CE"/>
    <w:rsid w:val="000715C9"/>
    <w:rsid w:val="0008074C"/>
    <w:rsid w:val="00085BCB"/>
    <w:rsid w:val="000A6C72"/>
    <w:rsid w:val="000A7A31"/>
    <w:rsid w:val="000D05CD"/>
    <w:rsid w:val="000D3D86"/>
    <w:rsid w:val="000D4798"/>
    <w:rsid w:val="000D5C8B"/>
    <w:rsid w:val="000E2131"/>
    <w:rsid w:val="00102B38"/>
    <w:rsid w:val="00123A78"/>
    <w:rsid w:val="001279C5"/>
    <w:rsid w:val="00127D3C"/>
    <w:rsid w:val="00133349"/>
    <w:rsid w:val="00141DD8"/>
    <w:rsid w:val="0014549F"/>
    <w:rsid w:val="0015605F"/>
    <w:rsid w:val="001576B1"/>
    <w:rsid w:val="00170135"/>
    <w:rsid w:val="00171857"/>
    <w:rsid w:val="001744FD"/>
    <w:rsid w:val="00177A61"/>
    <w:rsid w:val="00190124"/>
    <w:rsid w:val="001908E1"/>
    <w:rsid w:val="00194F18"/>
    <w:rsid w:val="001A6FFC"/>
    <w:rsid w:val="001B2296"/>
    <w:rsid w:val="001B285E"/>
    <w:rsid w:val="001B4AF1"/>
    <w:rsid w:val="001B6E3E"/>
    <w:rsid w:val="001E75CD"/>
    <w:rsid w:val="001E7F1C"/>
    <w:rsid w:val="001F0602"/>
    <w:rsid w:val="001F0D2F"/>
    <w:rsid w:val="001F2E0C"/>
    <w:rsid w:val="001F3C9A"/>
    <w:rsid w:val="0020793A"/>
    <w:rsid w:val="00207EEA"/>
    <w:rsid w:val="00214F35"/>
    <w:rsid w:val="002249D1"/>
    <w:rsid w:val="00225F0F"/>
    <w:rsid w:val="00230080"/>
    <w:rsid w:val="00241BAB"/>
    <w:rsid w:val="0024701F"/>
    <w:rsid w:val="00261444"/>
    <w:rsid w:val="00274FCA"/>
    <w:rsid w:val="0028617D"/>
    <w:rsid w:val="00286639"/>
    <w:rsid w:val="002911D0"/>
    <w:rsid w:val="002A07CC"/>
    <w:rsid w:val="002A36C6"/>
    <w:rsid w:val="002A6399"/>
    <w:rsid w:val="002C2DD2"/>
    <w:rsid w:val="002C6B2E"/>
    <w:rsid w:val="002D5F23"/>
    <w:rsid w:val="002F675D"/>
    <w:rsid w:val="003031D1"/>
    <w:rsid w:val="0035019E"/>
    <w:rsid w:val="0035106A"/>
    <w:rsid w:val="00356F06"/>
    <w:rsid w:val="003654F1"/>
    <w:rsid w:val="003749F2"/>
    <w:rsid w:val="0038016D"/>
    <w:rsid w:val="00381557"/>
    <w:rsid w:val="003841AF"/>
    <w:rsid w:val="003923C5"/>
    <w:rsid w:val="003A0C51"/>
    <w:rsid w:val="003A5330"/>
    <w:rsid w:val="003C0EA3"/>
    <w:rsid w:val="003D439A"/>
    <w:rsid w:val="003D5FA5"/>
    <w:rsid w:val="003E13BC"/>
    <w:rsid w:val="003F289D"/>
    <w:rsid w:val="00406CD1"/>
    <w:rsid w:val="004121F0"/>
    <w:rsid w:val="004133DA"/>
    <w:rsid w:val="004263F0"/>
    <w:rsid w:val="00427E60"/>
    <w:rsid w:val="004339F8"/>
    <w:rsid w:val="00447976"/>
    <w:rsid w:val="00451A75"/>
    <w:rsid w:val="00466B34"/>
    <w:rsid w:val="00470521"/>
    <w:rsid w:val="00473AC5"/>
    <w:rsid w:val="00492D9D"/>
    <w:rsid w:val="004A0AF5"/>
    <w:rsid w:val="004B340A"/>
    <w:rsid w:val="004B734D"/>
    <w:rsid w:val="004C5630"/>
    <w:rsid w:val="004D67A7"/>
    <w:rsid w:val="004D72A2"/>
    <w:rsid w:val="004F0572"/>
    <w:rsid w:val="004F57C2"/>
    <w:rsid w:val="004F597E"/>
    <w:rsid w:val="004F7442"/>
    <w:rsid w:val="00501302"/>
    <w:rsid w:val="005030F1"/>
    <w:rsid w:val="00503410"/>
    <w:rsid w:val="00513BA4"/>
    <w:rsid w:val="0052552A"/>
    <w:rsid w:val="005320A2"/>
    <w:rsid w:val="00536C94"/>
    <w:rsid w:val="00541DAB"/>
    <w:rsid w:val="0056258F"/>
    <w:rsid w:val="00574C74"/>
    <w:rsid w:val="005952FA"/>
    <w:rsid w:val="005B0662"/>
    <w:rsid w:val="005C12B9"/>
    <w:rsid w:val="005C23D5"/>
    <w:rsid w:val="00600D88"/>
    <w:rsid w:val="006303CF"/>
    <w:rsid w:val="006365EF"/>
    <w:rsid w:val="006369B2"/>
    <w:rsid w:val="00641FE4"/>
    <w:rsid w:val="00646236"/>
    <w:rsid w:val="006525CE"/>
    <w:rsid w:val="00652BB3"/>
    <w:rsid w:val="006552BB"/>
    <w:rsid w:val="006610C2"/>
    <w:rsid w:val="00681B60"/>
    <w:rsid w:val="00684FE8"/>
    <w:rsid w:val="00695877"/>
    <w:rsid w:val="0069623A"/>
    <w:rsid w:val="00697289"/>
    <w:rsid w:val="006B1DBE"/>
    <w:rsid w:val="006D309F"/>
    <w:rsid w:val="00733690"/>
    <w:rsid w:val="00734E59"/>
    <w:rsid w:val="00740130"/>
    <w:rsid w:val="00753346"/>
    <w:rsid w:val="00766F39"/>
    <w:rsid w:val="0079147B"/>
    <w:rsid w:val="007A02FF"/>
    <w:rsid w:val="007A32FA"/>
    <w:rsid w:val="007B0211"/>
    <w:rsid w:val="007B0501"/>
    <w:rsid w:val="007B4445"/>
    <w:rsid w:val="007E4A32"/>
    <w:rsid w:val="007F025E"/>
    <w:rsid w:val="00834792"/>
    <w:rsid w:val="008444D4"/>
    <w:rsid w:val="008448E2"/>
    <w:rsid w:val="00877F91"/>
    <w:rsid w:val="00881273"/>
    <w:rsid w:val="00883EF7"/>
    <w:rsid w:val="00885DEF"/>
    <w:rsid w:val="00891BE9"/>
    <w:rsid w:val="008A1D8D"/>
    <w:rsid w:val="008A6BE3"/>
    <w:rsid w:val="008C7421"/>
    <w:rsid w:val="008D4B00"/>
    <w:rsid w:val="008D61D2"/>
    <w:rsid w:val="008F021E"/>
    <w:rsid w:val="008F36DF"/>
    <w:rsid w:val="0090600E"/>
    <w:rsid w:val="0090675C"/>
    <w:rsid w:val="00910641"/>
    <w:rsid w:val="00911A66"/>
    <w:rsid w:val="00913FC2"/>
    <w:rsid w:val="00927F6F"/>
    <w:rsid w:val="00930567"/>
    <w:rsid w:val="00932222"/>
    <w:rsid w:val="00941559"/>
    <w:rsid w:val="00965277"/>
    <w:rsid w:val="00986817"/>
    <w:rsid w:val="00987BCB"/>
    <w:rsid w:val="0099020A"/>
    <w:rsid w:val="00994CE7"/>
    <w:rsid w:val="009A3C24"/>
    <w:rsid w:val="009B4F39"/>
    <w:rsid w:val="009C3E8A"/>
    <w:rsid w:val="009D2D23"/>
    <w:rsid w:val="009D4F9E"/>
    <w:rsid w:val="00A07EE7"/>
    <w:rsid w:val="00A2612B"/>
    <w:rsid w:val="00A27711"/>
    <w:rsid w:val="00A30330"/>
    <w:rsid w:val="00A3095A"/>
    <w:rsid w:val="00A84375"/>
    <w:rsid w:val="00AE5555"/>
    <w:rsid w:val="00B01E98"/>
    <w:rsid w:val="00B05A4B"/>
    <w:rsid w:val="00B06960"/>
    <w:rsid w:val="00B1411A"/>
    <w:rsid w:val="00B14479"/>
    <w:rsid w:val="00B16DF8"/>
    <w:rsid w:val="00B30235"/>
    <w:rsid w:val="00B30EBD"/>
    <w:rsid w:val="00B31132"/>
    <w:rsid w:val="00B33BFC"/>
    <w:rsid w:val="00B4203F"/>
    <w:rsid w:val="00B50740"/>
    <w:rsid w:val="00B623C0"/>
    <w:rsid w:val="00B63EC7"/>
    <w:rsid w:val="00B80CAC"/>
    <w:rsid w:val="00B840F7"/>
    <w:rsid w:val="00B96491"/>
    <w:rsid w:val="00BA1E82"/>
    <w:rsid w:val="00BA362C"/>
    <w:rsid w:val="00BC0726"/>
    <w:rsid w:val="00BC2E35"/>
    <w:rsid w:val="00BC5F3F"/>
    <w:rsid w:val="00BD200E"/>
    <w:rsid w:val="00BD6664"/>
    <w:rsid w:val="00BE0DB2"/>
    <w:rsid w:val="00BF0D0D"/>
    <w:rsid w:val="00BF62D6"/>
    <w:rsid w:val="00C137ED"/>
    <w:rsid w:val="00C1770E"/>
    <w:rsid w:val="00C20BC1"/>
    <w:rsid w:val="00C408EE"/>
    <w:rsid w:val="00C4189F"/>
    <w:rsid w:val="00C429B6"/>
    <w:rsid w:val="00C466D9"/>
    <w:rsid w:val="00C47EF1"/>
    <w:rsid w:val="00C5026E"/>
    <w:rsid w:val="00C55880"/>
    <w:rsid w:val="00C56BB8"/>
    <w:rsid w:val="00C67CDE"/>
    <w:rsid w:val="00C709BF"/>
    <w:rsid w:val="00C72CE1"/>
    <w:rsid w:val="00CA2D96"/>
    <w:rsid w:val="00CA67D8"/>
    <w:rsid w:val="00CA75B1"/>
    <w:rsid w:val="00CA7FE8"/>
    <w:rsid w:val="00CB312B"/>
    <w:rsid w:val="00CC3E40"/>
    <w:rsid w:val="00CC4453"/>
    <w:rsid w:val="00CD1A1E"/>
    <w:rsid w:val="00CD3B92"/>
    <w:rsid w:val="00CE0251"/>
    <w:rsid w:val="00CF6518"/>
    <w:rsid w:val="00D02994"/>
    <w:rsid w:val="00D222F5"/>
    <w:rsid w:val="00D30AC6"/>
    <w:rsid w:val="00D35B50"/>
    <w:rsid w:val="00D46A06"/>
    <w:rsid w:val="00D46D66"/>
    <w:rsid w:val="00D47543"/>
    <w:rsid w:val="00D50B1E"/>
    <w:rsid w:val="00D63382"/>
    <w:rsid w:val="00D66BC5"/>
    <w:rsid w:val="00D67BDA"/>
    <w:rsid w:val="00D7011A"/>
    <w:rsid w:val="00D70F8D"/>
    <w:rsid w:val="00D94DC8"/>
    <w:rsid w:val="00D95BF6"/>
    <w:rsid w:val="00D961BD"/>
    <w:rsid w:val="00DA1E5B"/>
    <w:rsid w:val="00DB0254"/>
    <w:rsid w:val="00DB7A7A"/>
    <w:rsid w:val="00DD3606"/>
    <w:rsid w:val="00DD3861"/>
    <w:rsid w:val="00DE04BF"/>
    <w:rsid w:val="00DE3F59"/>
    <w:rsid w:val="00DF305D"/>
    <w:rsid w:val="00E06965"/>
    <w:rsid w:val="00E1737F"/>
    <w:rsid w:val="00E261CD"/>
    <w:rsid w:val="00E82634"/>
    <w:rsid w:val="00E8435B"/>
    <w:rsid w:val="00E95023"/>
    <w:rsid w:val="00EB3A01"/>
    <w:rsid w:val="00ED51BA"/>
    <w:rsid w:val="00EE2662"/>
    <w:rsid w:val="00EE3C3E"/>
    <w:rsid w:val="00EE3CE7"/>
    <w:rsid w:val="00EE58D6"/>
    <w:rsid w:val="00EF2B2C"/>
    <w:rsid w:val="00EF3562"/>
    <w:rsid w:val="00F024B9"/>
    <w:rsid w:val="00F17527"/>
    <w:rsid w:val="00F31131"/>
    <w:rsid w:val="00F46532"/>
    <w:rsid w:val="00F615DE"/>
    <w:rsid w:val="00F703EA"/>
    <w:rsid w:val="00F71743"/>
    <w:rsid w:val="00F72DE0"/>
    <w:rsid w:val="00F75CFF"/>
    <w:rsid w:val="00F852A1"/>
    <w:rsid w:val="00F91286"/>
    <w:rsid w:val="00F93E1A"/>
    <w:rsid w:val="00FA585C"/>
    <w:rsid w:val="00FB7917"/>
    <w:rsid w:val="00FC23F5"/>
    <w:rsid w:val="00FD18ED"/>
    <w:rsid w:val="00FD1EF8"/>
    <w:rsid w:val="00FD3596"/>
    <w:rsid w:val="00FD6C10"/>
    <w:rsid w:val="00FE3EA1"/>
    <w:rsid w:val="00FE4895"/>
    <w:rsid w:val="00FE6245"/>
    <w:rsid w:val="00FF169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0A9C9"/>
  <w15:docId w15:val="{BB6058F3-D048-4021-96DA-9B5DC2DB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31"/>
    <w:pPr>
      <w:spacing w:line="276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24701F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DE04BF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unhideWhenUsed/>
    <w:qFormat/>
    <w:locked/>
    <w:rsid w:val="006365E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1D1"/>
    <w:pPr>
      <w:ind w:left="720"/>
      <w:contextualSpacing/>
    </w:pPr>
  </w:style>
  <w:style w:type="character" w:styleId="a4">
    <w:name w:val="Hyperlink"/>
    <w:uiPriority w:val="99"/>
    <w:rsid w:val="006369B2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50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16D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rsid w:val="00BC2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2E35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24701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">
    <w:name w:val="Неразрешенное упоминание1"/>
    <w:uiPriority w:val="99"/>
    <w:semiHidden/>
    <w:unhideWhenUsed/>
    <w:rsid w:val="00274FC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link w:val="a8"/>
    <w:uiPriority w:val="99"/>
    <w:rsid w:val="00DF305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link w:val="aa"/>
    <w:uiPriority w:val="99"/>
    <w:rsid w:val="00DF305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DE04B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jlqj4b">
    <w:name w:val="jlqj4b"/>
    <w:rsid w:val="00286639"/>
  </w:style>
  <w:style w:type="paragraph" w:styleId="ac">
    <w:name w:val="No Spacing"/>
    <w:uiPriority w:val="1"/>
    <w:qFormat/>
    <w:rsid w:val="00286639"/>
    <w:rPr>
      <w:rFonts w:ascii="Times New Roman" w:eastAsia="Times New Roman" w:hAnsi="Times New Roman"/>
      <w:sz w:val="24"/>
      <w:szCs w:val="24"/>
    </w:rPr>
  </w:style>
  <w:style w:type="paragraph" w:styleId="ad">
    <w:name w:val="Title"/>
    <w:basedOn w:val="a"/>
    <w:next w:val="a"/>
    <w:link w:val="ae"/>
    <w:qFormat/>
    <w:locked/>
    <w:rsid w:val="00DA1E5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rsid w:val="00DA1E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6365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f">
    <w:name w:val="annotation reference"/>
    <w:uiPriority w:val="99"/>
    <w:semiHidden/>
    <w:unhideWhenUsed/>
    <w:rsid w:val="00085B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85BC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085BC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КОМИТЕТ ПО СТАНДАРТИЗАЦИИ 29</vt:lpstr>
    </vt:vector>
  </TitlesOfParts>
  <Company>Microsoft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КОМИТЕТ ПО СТАНДАРТИЗАЦИИ 29</dc:title>
  <dc:subject/>
  <dc:creator>R.Khartunova</dc:creator>
  <cp:keywords/>
  <cp:lastModifiedBy>selezneva</cp:lastModifiedBy>
  <cp:revision>4</cp:revision>
  <cp:lastPrinted>2023-09-18T13:42:00Z</cp:lastPrinted>
  <dcterms:created xsi:type="dcterms:W3CDTF">2026-05-09T13:30:00Z</dcterms:created>
  <dcterms:modified xsi:type="dcterms:W3CDTF">2026-05-10T09:56:00Z</dcterms:modified>
</cp:coreProperties>
</file>